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E1204" w14:textId="6E634199" w:rsidR="009426F5" w:rsidRDefault="00AA79A2" w:rsidP="00B319AE">
      <w:bookmarkStart w:id="0" w:name="_GoBack"/>
      <w:bookmarkEnd w:id="0"/>
      <w:r>
        <w:t>Common objection codes</w:t>
      </w:r>
    </w:p>
    <w:p w14:paraId="70D8817E" w14:textId="43396411" w:rsidR="000063B4" w:rsidRDefault="000063B4" w:rsidP="00B319AE">
      <w:r>
        <w:t xml:space="preserve">Some of the coded objections are self-explanatory.  Others may require elaboration (e.g. the ‘dup’ objection should be accompanied by an identification of the relevant duplication unless that is clear from the context) in the itemised objections or in general objections.  </w:t>
      </w:r>
    </w:p>
    <w:tbl>
      <w:tblPr>
        <w:tblStyle w:val="TableGrid"/>
        <w:tblW w:w="0" w:type="auto"/>
        <w:tblLook w:val="04A0" w:firstRow="1" w:lastRow="0" w:firstColumn="1" w:lastColumn="0" w:noHBand="0" w:noVBand="1"/>
      </w:tblPr>
      <w:tblGrid>
        <w:gridCol w:w="1129"/>
        <w:gridCol w:w="6663"/>
        <w:gridCol w:w="1224"/>
      </w:tblGrid>
      <w:tr w:rsidR="00F91B8C" w:rsidRPr="00F91B8C" w14:paraId="5FF6A732" w14:textId="77777777" w:rsidTr="00F91B8C">
        <w:trPr>
          <w:tblHeader/>
        </w:trPr>
        <w:tc>
          <w:tcPr>
            <w:tcW w:w="1129" w:type="dxa"/>
          </w:tcPr>
          <w:p w14:paraId="47906C4F" w14:textId="77777777" w:rsidR="00F91B8C" w:rsidRPr="00F91B8C" w:rsidRDefault="00F91B8C" w:rsidP="00B319AE">
            <w:pPr>
              <w:rPr>
                <w:i/>
              </w:rPr>
            </w:pPr>
            <w:r w:rsidRPr="00F91B8C">
              <w:rPr>
                <w:i/>
              </w:rPr>
              <w:t>Code</w:t>
            </w:r>
          </w:p>
        </w:tc>
        <w:tc>
          <w:tcPr>
            <w:tcW w:w="6663" w:type="dxa"/>
          </w:tcPr>
          <w:p w14:paraId="0A97F4C9" w14:textId="77777777" w:rsidR="00F91B8C" w:rsidRPr="00F91B8C" w:rsidRDefault="00F91B8C" w:rsidP="00B319AE">
            <w:pPr>
              <w:rPr>
                <w:i/>
              </w:rPr>
            </w:pPr>
            <w:r w:rsidRPr="00F91B8C">
              <w:rPr>
                <w:i/>
              </w:rPr>
              <w:t>Objection</w:t>
            </w:r>
          </w:p>
        </w:tc>
        <w:tc>
          <w:tcPr>
            <w:tcW w:w="1224" w:type="dxa"/>
          </w:tcPr>
          <w:p w14:paraId="02966D95" w14:textId="77777777" w:rsidR="00F91B8C" w:rsidRPr="00F91B8C" w:rsidRDefault="00F91B8C" w:rsidP="00B319AE">
            <w:pPr>
              <w:rPr>
                <w:i/>
              </w:rPr>
            </w:pPr>
          </w:p>
        </w:tc>
      </w:tr>
      <w:tr w:rsidR="00F91B8C" w14:paraId="21E6CF26" w14:textId="77777777" w:rsidTr="00660CD8">
        <w:tc>
          <w:tcPr>
            <w:tcW w:w="1129" w:type="dxa"/>
          </w:tcPr>
          <w:p w14:paraId="1479209B" w14:textId="77777777" w:rsidR="00F91B8C" w:rsidRDefault="00F91B8C" w:rsidP="00B319AE">
            <w:r>
              <w:t>6mu</w:t>
            </w:r>
          </w:p>
        </w:tc>
        <w:tc>
          <w:tcPr>
            <w:tcW w:w="6663" w:type="dxa"/>
          </w:tcPr>
          <w:p w14:paraId="05E492F5" w14:textId="36776AAE" w:rsidR="00F91B8C" w:rsidRDefault="00F91B8C" w:rsidP="00B319AE">
            <w:r>
              <w:t xml:space="preserve">It is unreasonable to charge this as a separate item on the basis of rounding-up to a whole six-minute unit.  </w:t>
            </w:r>
          </w:p>
        </w:tc>
        <w:tc>
          <w:tcPr>
            <w:tcW w:w="1224" w:type="dxa"/>
          </w:tcPr>
          <w:p w14:paraId="2CE680C5" w14:textId="77777777" w:rsidR="00F91B8C" w:rsidRDefault="00F91B8C" w:rsidP="00B319AE"/>
        </w:tc>
      </w:tr>
      <w:tr w:rsidR="00F91B8C" w14:paraId="745CFB87" w14:textId="77777777" w:rsidTr="00660CD8">
        <w:tc>
          <w:tcPr>
            <w:tcW w:w="1129" w:type="dxa"/>
          </w:tcPr>
          <w:p w14:paraId="2EA5A685" w14:textId="77777777" w:rsidR="00F91B8C" w:rsidRDefault="00F91B8C" w:rsidP="00B319AE">
            <w:proofErr w:type="spellStart"/>
            <w:r>
              <w:t>adm</w:t>
            </w:r>
            <w:proofErr w:type="spellEnd"/>
          </w:p>
        </w:tc>
        <w:tc>
          <w:tcPr>
            <w:tcW w:w="6663" w:type="dxa"/>
          </w:tcPr>
          <w:p w14:paraId="23F1FB42" w14:textId="77777777" w:rsidR="00F91B8C" w:rsidRDefault="00F91B8C" w:rsidP="00B319AE">
            <w:r>
              <w:t>The work is administrative in character and should not be charged at a qualified lawyer’s rate.</w:t>
            </w:r>
          </w:p>
        </w:tc>
        <w:tc>
          <w:tcPr>
            <w:tcW w:w="1224" w:type="dxa"/>
          </w:tcPr>
          <w:p w14:paraId="1540DCA2" w14:textId="77777777" w:rsidR="00F91B8C" w:rsidRDefault="00F91B8C" w:rsidP="00B319AE"/>
        </w:tc>
      </w:tr>
      <w:tr w:rsidR="00F91B8C" w14:paraId="176CA498" w14:textId="77777777" w:rsidTr="00660CD8">
        <w:tc>
          <w:tcPr>
            <w:tcW w:w="1129" w:type="dxa"/>
          </w:tcPr>
          <w:p w14:paraId="2E2A7197" w14:textId="77777777" w:rsidR="00F91B8C" w:rsidRDefault="00F91B8C" w:rsidP="00B319AE">
            <w:r>
              <w:t>billing</w:t>
            </w:r>
          </w:p>
        </w:tc>
        <w:tc>
          <w:tcPr>
            <w:tcW w:w="6663" w:type="dxa"/>
          </w:tcPr>
          <w:p w14:paraId="2D5477F6" w14:textId="77777777" w:rsidR="00F91B8C" w:rsidRDefault="00F91B8C" w:rsidP="00B319AE">
            <w:r>
              <w:t>This item contravenes the prohibition on a law practice charging a client or third party payer for preparing or giving a bill (s 191).</w:t>
            </w:r>
          </w:p>
        </w:tc>
        <w:tc>
          <w:tcPr>
            <w:tcW w:w="1224" w:type="dxa"/>
          </w:tcPr>
          <w:p w14:paraId="1C8AE47F" w14:textId="77777777" w:rsidR="00F91B8C" w:rsidRDefault="00F91B8C" w:rsidP="00B319AE"/>
        </w:tc>
      </w:tr>
      <w:tr w:rsidR="00F91B8C" w14:paraId="27C94832" w14:textId="77777777" w:rsidTr="00660CD8">
        <w:tc>
          <w:tcPr>
            <w:tcW w:w="1129" w:type="dxa"/>
          </w:tcPr>
          <w:p w14:paraId="3DF3277F" w14:textId="77777777" w:rsidR="00F91B8C" w:rsidRDefault="00F91B8C" w:rsidP="00B319AE">
            <w:r>
              <w:t>disc</w:t>
            </w:r>
          </w:p>
        </w:tc>
        <w:tc>
          <w:tcPr>
            <w:tcW w:w="6663" w:type="dxa"/>
          </w:tcPr>
          <w:p w14:paraId="343F0988" w14:textId="77777777" w:rsidR="00F91B8C" w:rsidRDefault="00F91B8C" w:rsidP="00B319AE">
            <w:r>
              <w:t xml:space="preserve">This item claims to charge for compliance with the statutory obligation of disclosure.  Such disclosure is not the provision of legal services.  </w:t>
            </w:r>
          </w:p>
        </w:tc>
        <w:tc>
          <w:tcPr>
            <w:tcW w:w="1224" w:type="dxa"/>
          </w:tcPr>
          <w:p w14:paraId="715D6A70" w14:textId="77777777" w:rsidR="00F91B8C" w:rsidRDefault="00F91B8C" w:rsidP="00B319AE"/>
        </w:tc>
      </w:tr>
      <w:tr w:rsidR="00F91B8C" w14:paraId="5BFFF580" w14:textId="77777777" w:rsidTr="00660CD8">
        <w:tc>
          <w:tcPr>
            <w:tcW w:w="1129" w:type="dxa"/>
          </w:tcPr>
          <w:p w14:paraId="6FE3633A" w14:textId="77777777" w:rsidR="00F91B8C" w:rsidRDefault="00F91B8C" w:rsidP="00B319AE">
            <w:r>
              <w:t>dup</w:t>
            </w:r>
          </w:p>
        </w:tc>
        <w:tc>
          <w:tcPr>
            <w:tcW w:w="6663" w:type="dxa"/>
          </w:tcPr>
          <w:p w14:paraId="0162A9B3" w14:textId="77777777" w:rsidR="00F91B8C" w:rsidRDefault="00F91B8C" w:rsidP="00B319AE">
            <w:r>
              <w:t>The work has been done by another person and a second charge for it is not fair and reasonable.</w:t>
            </w:r>
          </w:p>
        </w:tc>
        <w:tc>
          <w:tcPr>
            <w:tcW w:w="1224" w:type="dxa"/>
          </w:tcPr>
          <w:p w14:paraId="4114F4CB" w14:textId="77777777" w:rsidR="00F91B8C" w:rsidRDefault="00F91B8C" w:rsidP="00B319AE"/>
        </w:tc>
      </w:tr>
      <w:tr w:rsidR="00F91B8C" w14:paraId="577F0EDA" w14:textId="77777777" w:rsidTr="00660CD8">
        <w:tc>
          <w:tcPr>
            <w:tcW w:w="1129" w:type="dxa"/>
          </w:tcPr>
          <w:p w14:paraId="057A0812" w14:textId="77777777" w:rsidR="00F91B8C" w:rsidRDefault="00F91B8C" w:rsidP="00B319AE">
            <w:proofErr w:type="spellStart"/>
            <w:r>
              <w:t>exp</w:t>
            </w:r>
            <w:proofErr w:type="spellEnd"/>
          </w:p>
        </w:tc>
        <w:tc>
          <w:tcPr>
            <w:tcW w:w="6663" w:type="dxa"/>
          </w:tcPr>
          <w:p w14:paraId="3594427A" w14:textId="77777777" w:rsidR="00F91B8C" w:rsidRDefault="00F91B8C" w:rsidP="00B319AE">
            <w:r>
              <w:t xml:space="preserve">The level of </w:t>
            </w:r>
            <w:proofErr w:type="spellStart"/>
            <w:r>
              <w:t>experitse</w:t>
            </w:r>
            <w:proofErr w:type="spellEnd"/>
            <w:r>
              <w:t xml:space="preserve"> of the person who did the work was higher than the work reasonably justified.  It is unreasonable to charge for the work at that person’s rate.  </w:t>
            </w:r>
          </w:p>
        </w:tc>
        <w:tc>
          <w:tcPr>
            <w:tcW w:w="1224" w:type="dxa"/>
          </w:tcPr>
          <w:p w14:paraId="13C7150B" w14:textId="77777777" w:rsidR="00F91B8C" w:rsidRDefault="00F91B8C" w:rsidP="00B319AE"/>
        </w:tc>
      </w:tr>
      <w:tr w:rsidR="00F91B8C" w14:paraId="144A4EDA" w14:textId="77777777" w:rsidTr="00660CD8">
        <w:tc>
          <w:tcPr>
            <w:tcW w:w="1129" w:type="dxa"/>
          </w:tcPr>
          <w:p w14:paraId="4069A274" w14:textId="77777777" w:rsidR="00F91B8C" w:rsidRDefault="00F91B8C" w:rsidP="00B319AE">
            <w:r>
              <w:t>fax</w:t>
            </w:r>
          </w:p>
        </w:tc>
        <w:tc>
          <w:tcPr>
            <w:tcW w:w="6663" w:type="dxa"/>
          </w:tcPr>
          <w:p w14:paraId="2F8A0D24" w14:textId="77777777" w:rsidR="00F91B8C" w:rsidRDefault="00F91B8C" w:rsidP="00B319AE">
            <w:r>
              <w:t>It is unreasonable to charge a separate fee for sending/receiving a facsimile transmission.</w:t>
            </w:r>
          </w:p>
        </w:tc>
        <w:tc>
          <w:tcPr>
            <w:tcW w:w="1224" w:type="dxa"/>
          </w:tcPr>
          <w:p w14:paraId="5E26DF1D" w14:textId="77777777" w:rsidR="00F91B8C" w:rsidRDefault="00F91B8C" w:rsidP="00B319AE"/>
        </w:tc>
      </w:tr>
      <w:tr w:rsidR="006E1847" w14:paraId="428BEC04" w14:textId="77777777" w:rsidTr="00F4742A">
        <w:tc>
          <w:tcPr>
            <w:tcW w:w="1129" w:type="dxa"/>
          </w:tcPr>
          <w:p w14:paraId="43857B78" w14:textId="77777777" w:rsidR="006E1847" w:rsidRDefault="006E1847" w:rsidP="00F4742A">
            <w:r>
              <w:t>hr</w:t>
            </w:r>
          </w:p>
        </w:tc>
        <w:tc>
          <w:tcPr>
            <w:tcW w:w="6663" w:type="dxa"/>
          </w:tcPr>
          <w:p w14:paraId="72DE7778" w14:textId="77777777" w:rsidR="006E1847" w:rsidRDefault="006E1847" w:rsidP="00F4742A">
            <w:r>
              <w:t>The hourly or other periodic rate claimed is unreasonable.</w:t>
            </w:r>
          </w:p>
        </w:tc>
        <w:tc>
          <w:tcPr>
            <w:tcW w:w="1224" w:type="dxa"/>
          </w:tcPr>
          <w:p w14:paraId="5B9A1E5E" w14:textId="77777777" w:rsidR="006E1847" w:rsidRDefault="006E1847" w:rsidP="00F4742A"/>
        </w:tc>
      </w:tr>
      <w:tr w:rsidR="00F91B8C" w14:paraId="3601A289" w14:textId="77777777" w:rsidTr="00660CD8">
        <w:tc>
          <w:tcPr>
            <w:tcW w:w="1129" w:type="dxa"/>
          </w:tcPr>
          <w:p w14:paraId="01BFC995" w14:textId="77777777" w:rsidR="00F91B8C" w:rsidRDefault="00F91B8C" w:rsidP="00B319AE">
            <w:proofErr w:type="spellStart"/>
            <w:r>
              <w:t>inst</w:t>
            </w:r>
            <w:proofErr w:type="spellEnd"/>
          </w:p>
        </w:tc>
        <w:tc>
          <w:tcPr>
            <w:tcW w:w="6663" w:type="dxa"/>
          </w:tcPr>
          <w:p w14:paraId="35A4F813" w14:textId="77777777" w:rsidR="00F91B8C" w:rsidRDefault="00F91B8C" w:rsidP="00B319AE">
            <w:r>
              <w:t>This item was outside the scope of the work that the law practice was instructed to perform.</w:t>
            </w:r>
          </w:p>
        </w:tc>
        <w:tc>
          <w:tcPr>
            <w:tcW w:w="1224" w:type="dxa"/>
          </w:tcPr>
          <w:p w14:paraId="14CDCB6C" w14:textId="77777777" w:rsidR="00F91B8C" w:rsidRDefault="00F91B8C" w:rsidP="00B319AE"/>
        </w:tc>
      </w:tr>
      <w:tr w:rsidR="00F91B8C" w14:paraId="4A62CF58" w14:textId="77777777" w:rsidTr="00660CD8">
        <w:tc>
          <w:tcPr>
            <w:tcW w:w="1129" w:type="dxa"/>
          </w:tcPr>
          <w:p w14:paraId="77C5335D" w14:textId="77777777" w:rsidR="00F91B8C" w:rsidRDefault="00F91B8C" w:rsidP="00B319AE">
            <w:proofErr w:type="spellStart"/>
            <w:r>
              <w:t>int</w:t>
            </w:r>
            <w:proofErr w:type="spellEnd"/>
          </w:p>
        </w:tc>
        <w:tc>
          <w:tcPr>
            <w:tcW w:w="6663" w:type="dxa"/>
          </w:tcPr>
          <w:p w14:paraId="63506F91" w14:textId="77777777" w:rsidR="00F91B8C" w:rsidRDefault="00F91B8C" w:rsidP="00B319AE">
            <w:r>
              <w:t>It was not reasonable to undertake an internal conference between lawyers and/or the time claimed and/or amount charged for the internal conference exceeds what is reasonable.</w:t>
            </w:r>
          </w:p>
        </w:tc>
        <w:tc>
          <w:tcPr>
            <w:tcW w:w="1224" w:type="dxa"/>
          </w:tcPr>
          <w:p w14:paraId="1FD50663" w14:textId="77777777" w:rsidR="00F91B8C" w:rsidRDefault="00F91B8C" w:rsidP="00B319AE"/>
        </w:tc>
      </w:tr>
      <w:tr w:rsidR="00F91B8C" w14:paraId="13C6E7AA" w14:textId="77777777" w:rsidTr="00660CD8">
        <w:tc>
          <w:tcPr>
            <w:tcW w:w="1129" w:type="dxa"/>
          </w:tcPr>
          <w:p w14:paraId="4BB93278" w14:textId="77777777" w:rsidR="00F91B8C" w:rsidRDefault="00F91B8C" w:rsidP="00B319AE">
            <w:r>
              <w:t>nr</w:t>
            </w:r>
          </w:p>
        </w:tc>
        <w:tc>
          <w:tcPr>
            <w:tcW w:w="6663" w:type="dxa"/>
          </w:tcPr>
          <w:p w14:paraId="1AD1F4B8" w14:textId="77777777" w:rsidR="00F91B8C" w:rsidRDefault="00F91B8C" w:rsidP="00B319AE">
            <w:r>
              <w:t xml:space="preserve">It was not reasonable to do the work, or it was not reasonable to include a claim for doing the work. </w:t>
            </w:r>
          </w:p>
        </w:tc>
        <w:tc>
          <w:tcPr>
            <w:tcW w:w="1224" w:type="dxa"/>
          </w:tcPr>
          <w:p w14:paraId="03A6097E" w14:textId="77777777" w:rsidR="00F91B8C" w:rsidRDefault="00F91B8C" w:rsidP="00B319AE"/>
        </w:tc>
      </w:tr>
      <w:tr w:rsidR="00F91B8C" w14:paraId="51F2D3FF" w14:textId="77777777" w:rsidTr="00660CD8">
        <w:tc>
          <w:tcPr>
            <w:tcW w:w="1129" w:type="dxa"/>
          </w:tcPr>
          <w:p w14:paraId="50B223C6" w14:textId="77777777" w:rsidR="00F91B8C" w:rsidRDefault="00F91B8C" w:rsidP="00B319AE">
            <w:r>
              <w:lastRenderedPageBreak/>
              <w:t>pc</w:t>
            </w:r>
          </w:p>
        </w:tc>
        <w:tc>
          <w:tcPr>
            <w:tcW w:w="6663" w:type="dxa"/>
          </w:tcPr>
          <w:p w14:paraId="5D13338D" w14:textId="77777777" w:rsidR="00F91B8C" w:rsidRDefault="00F91B8C" w:rsidP="00B319AE">
            <w:r>
              <w:t xml:space="preserve">The photocopying rate is unreasonable.  </w:t>
            </w:r>
          </w:p>
        </w:tc>
        <w:tc>
          <w:tcPr>
            <w:tcW w:w="1224" w:type="dxa"/>
          </w:tcPr>
          <w:p w14:paraId="44AD9325" w14:textId="77777777" w:rsidR="00F91B8C" w:rsidRDefault="00F91B8C" w:rsidP="00B319AE"/>
        </w:tc>
      </w:tr>
      <w:tr w:rsidR="00F91B8C" w14:paraId="5E8272F5" w14:textId="77777777" w:rsidTr="00660CD8">
        <w:tc>
          <w:tcPr>
            <w:tcW w:w="1129" w:type="dxa"/>
          </w:tcPr>
          <w:p w14:paraId="4B3CDF06" w14:textId="77777777" w:rsidR="00F91B8C" w:rsidRDefault="00F91B8C" w:rsidP="00B319AE">
            <w:r>
              <w:t>scope</w:t>
            </w:r>
          </w:p>
        </w:tc>
        <w:tc>
          <w:tcPr>
            <w:tcW w:w="6663" w:type="dxa"/>
          </w:tcPr>
          <w:p w14:paraId="7944CB2F" w14:textId="50DC5A43" w:rsidR="00F91B8C" w:rsidRDefault="00F91B8C" w:rsidP="00B319AE">
            <w:r>
              <w:t>This item is outside the scope of the costs order.</w:t>
            </w:r>
            <w:r w:rsidR="00E02654">
              <w:t xml:space="preserve">  [Only relevant in the assessment of ordered costs.]</w:t>
            </w:r>
          </w:p>
        </w:tc>
        <w:tc>
          <w:tcPr>
            <w:tcW w:w="1224" w:type="dxa"/>
          </w:tcPr>
          <w:p w14:paraId="5F33BA64" w14:textId="307F8C24" w:rsidR="00F91B8C" w:rsidRDefault="00F91B8C" w:rsidP="00B319AE"/>
        </w:tc>
      </w:tr>
      <w:tr w:rsidR="00F91B8C" w14:paraId="1E0DCBF1" w14:textId="77777777" w:rsidTr="00660CD8">
        <w:tc>
          <w:tcPr>
            <w:tcW w:w="1129" w:type="dxa"/>
          </w:tcPr>
          <w:p w14:paraId="4D80F8AB" w14:textId="77777777" w:rsidR="00F91B8C" w:rsidRDefault="00F91B8C" w:rsidP="00B319AE">
            <w:proofErr w:type="spellStart"/>
            <w:r>
              <w:t>tim</w:t>
            </w:r>
            <w:proofErr w:type="spellEnd"/>
          </w:p>
        </w:tc>
        <w:tc>
          <w:tcPr>
            <w:tcW w:w="6663" w:type="dxa"/>
          </w:tcPr>
          <w:p w14:paraId="67D0A5E4" w14:textId="77777777" w:rsidR="00F91B8C" w:rsidRDefault="00F91B8C" w:rsidP="00B319AE">
            <w:r>
              <w:t xml:space="preserve">The work should not reasonably have taken the time claimed or charged.  </w:t>
            </w:r>
          </w:p>
        </w:tc>
        <w:tc>
          <w:tcPr>
            <w:tcW w:w="1224" w:type="dxa"/>
          </w:tcPr>
          <w:p w14:paraId="4A78F9A3" w14:textId="77777777" w:rsidR="00F91B8C" w:rsidRDefault="00F91B8C" w:rsidP="00B319AE"/>
        </w:tc>
      </w:tr>
      <w:tr w:rsidR="00F91B8C" w14:paraId="0626D25C" w14:textId="77777777" w:rsidTr="00660CD8">
        <w:tc>
          <w:tcPr>
            <w:tcW w:w="1129" w:type="dxa"/>
          </w:tcPr>
          <w:p w14:paraId="12559B58" w14:textId="77777777" w:rsidR="00F91B8C" w:rsidRDefault="00F91B8C" w:rsidP="00B319AE">
            <w:r>
              <w:t>travel</w:t>
            </w:r>
          </w:p>
        </w:tc>
        <w:tc>
          <w:tcPr>
            <w:tcW w:w="6663" w:type="dxa"/>
          </w:tcPr>
          <w:p w14:paraId="79353AAF" w14:textId="77777777" w:rsidR="00F91B8C" w:rsidRDefault="00F91B8C" w:rsidP="00B319AE">
            <w:r>
              <w:t>The rate charged for travelling time is unreasonable.</w:t>
            </w:r>
          </w:p>
        </w:tc>
        <w:tc>
          <w:tcPr>
            <w:tcW w:w="1224" w:type="dxa"/>
          </w:tcPr>
          <w:p w14:paraId="0A1942DD" w14:textId="77777777" w:rsidR="00F91B8C" w:rsidRDefault="00F91B8C" w:rsidP="00B319AE"/>
        </w:tc>
      </w:tr>
    </w:tbl>
    <w:p w14:paraId="13E9EF5E" w14:textId="77777777" w:rsidR="00AA79A2" w:rsidRDefault="00AA79A2" w:rsidP="00B319AE"/>
    <w:sectPr w:rsidR="00AA79A2" w:rsidSect="007E08C9">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97C9A" w14:textId="77777777" w:rsidR="00F24731" w:rsidRDefault="00F24731" w:rsidP="007E08C9">
      <w:pPr>
        <w:spacing w:before="0" w:line="240" w:lineRule="auto"/>
      </w:pPr>
      <w:r>
        <w:separator/>
      </w:r>
    </w:p>
  </w:endnote>
  <w:endnote w:type="continuationSeparator" w:id="0">
    <w:p w14:paraId="17F15610" w14:textId="77777777" w:rsidR="00F24731" w:rsidRDefault="00F24731" w:rsidP="007E08C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926BE" w14:textId="77777777" w:rsidR="00F24731" w:rsidRDefault="00F24731" w:rsidP="007E08C9">
      <w:pPr>
        <w:spacing w:before="0" w:line="240" w:lineRule="auto"/>
      </w:pPr>
      <w:r>
        <w:separator/>
      </w:r>
    </w:p>
  </w:footnote>
  <w:footnote w:type="continuationSeparator" w:id="0">
    <w:p w14:paraId="097EC2C5" w14:textId="77777777" w:rsidR="00F24731" w:rsidRDefault="00F24731" w:rsidP="007E08C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476250"/>
      <w:docPartObj>
        <w:docPartGallery w:val="Page Numbers (Top of Page)"/>
        <w:docPartUnique/>
      </w:docPartObj>
    </w:sdtPr>
    <w:sdtEndPr>
      <w:rPr>
        <w:noProof/>
      </w:rPr>
    </w:sdtEndPr>
    <w:sdtContent>
      <w:p w14:paraId="3DEF8EA2" w14:textId="103BF560" w:rsidR="007E08C9" w:rsidRDefault="007E08C9" w:rsidP="007E08C9">
        <w:pPr>
          <w:pStyle w:val="Header"/>
          <w:jc w:val="center"/>
        </w:pPr>
        <w:r>
          <w:fldChar w:fldCharType="begin"/>
        </w:r>
        <w:r>
          <w:instrText xml:space="preserve"> PAGE   \* MERGEFORMAT </w:instrText>
        </w:r>
        <w:r>
          <w:fldChar w:fldCharType="separate"/>
        </w:r>
        <w:r w:rsidR="00467A32">
          <w:rPr>
            <w:noProof/>
          </w:rPr>
          <w:t>2</w:t>
        </w:r>
        <w:r>
          <w:rPr>
            <w:noProof/>
          </w:rPr>
          <w:fldChar w:fldCharType="end"/>
        </w:r>
      </w:p>
    </w:sdtContent>
  </w:sdt>
  <w:p w14:paraId="2A3FB7AB" w14:textId="77777777" w:rsidR="007E08C9" w:rsidRDefault="007E08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4729504"/>
    <w:lvl w:ilvl="0">
      <w:start w:val="1"/>
      <w:numFmt w:val="decimal"/>
      <w:lvlText w:val="%1."/>
      <w:lvlJc w:val="left"/>
      <w:pPr>
        <w:tabs>
          <w:tab w:val="num" w:pos="1492"/>
        </w:tabs>
        <w:ind w:left="1492" w:hanging="360"/>
      </w:pPr>
    </w:lvl>
  </w:abstractNum>
  <w:abstractNum w:abstractNumId="1">
    <w:nsid w:val="FFFFFF7D"/>
    <w:multiLevelType w:val="singleLevel"/>
    <w:tmpl w:val="58ECB21E"/>
    <w:lvl w:ilvl="0">
      <w:start w:val="1"/>
      <w:numFmt w:val="decimal"/>
      <w:lvlText w:val="%1."/>
      <w:lvlJc w:val="left"/>
      <w:pPr>
        <w:tabs>
          <w:tab w:val="num" w:pos="1209"/>
        </w:tabs>
        <w:ind w:left="1209" w:hanging="360"/>
      </w:pPr>
    </w:lvl>
  </w:abstractNum>
  <w:abstractNum w:abstractNumId="2">
    <w:nsid w:val="FFFFFF7E"/>
    <w:multiLevelType w:val="singleLevel"/>
    <w:tmpl w:val="9EAE2328"/>
    <w:lvl w:ilvl="0">
      <w:start w:val="1"/>
      <w:numFmt w:val="decimal"/>
      <w:lvlText w:val="%1."/>
      <w:lvlJc w:val="left"/>
      <w:pPr>
        <w:tabs>
          <w:tab w:val="num" w:pos="926"/>
        </w:tabs>
        <w:ind w:left="926" w:hanging="360"/>
      </w:pPr>
    </w:lvl>
  </w:abstractNum>
  <w:abstractNum w:abstractNumId="3">
    <w:nsid w:val="FFFFFF7F"/>
    <w:multiLevelType w:val="singleLevel"/>
    <w:tmpl w:val="3A0899C6"/>
    <w:lvl w:ilvl="0">
      <w:start w:val="1"/>
      <w:numFmt w:val="decimal"/>
      <w:lvlText w:val="%1."/>
      <w:lvlJc w:val="left"/>
      <w:pPr>
        <w:tabs>
          <w:tab w:val="num" w:pos="643"/>
        </w:tabs>
        <w:ind w:left="643" w:hanging="360"/>
      </w:pPr>
    </w:lvl>
  </w:abstractNum>
  <w:abstractNum w:abstractNumId="4">
    <w:nsid w:val="FFFFFF80"/>
    <w:multiLevelType w:val="singleLevel"/>
    <w:tmpl w:val="C4466B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47252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44CA3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6E0EC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FA42B44"/>
    <w:lvl w:ilvl="0">
      <w:start w:val="1"/>
      <w:numFmt w:val="decimal"/>
      <w:lvlText w:val="%1."/>
      <w:lvlJc w:val="left"/>
      <w:pPr>
        <w:tabs>
          <w:tab w:val="num" w:pos="360"/>
        </w:tabs>
        <w:ind w:left="360" w:hanging="360"/>
      </w:pPr>
    </w:lvl>
  </w:abstractNum>
  <w:abstractNum w:abstractNumId="9">
    <w:nsid w:val="FFFFFF89"/>
    <w:multiLevelType w:val="singleLevel"/>
    <w:tmpl w:val="E968FE3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9A2"/>
    <w:rsid w:val="000063B4"/>
    <w:rsid w:val="003779D5"/>
    <w:rsid w:val="00467A32"/>
    <w:rsid w:val="00500570"/>
    <w:rsid w:val="005E462C"/>
    <w:rsid w:val="00660CD8"/>
    <w:rsid w:val="006E1847"/>
    <w:rsid w:val="007E08C9"/>
    <w:rsid w:val="009426F5"/>
    <w:rsid w:val="00AA79A2"/>
    <w:rsid w:val="00B319AE"/>
    <w:rsid w:val="00C47859"/>
    <w:rsid w:val="00D96917"/>
    <w:rsid w:val="00E02654"/>
    <w:rsid w:val="00F24731"/>
    <w:rsid w:val="00F31632"/>
    <w:rsid w:val="00F76715"/>
    <w:rsid w:val="00F80166"/>
    <w:rsid w:val="00F91B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9AE"/>
    <w:pPr>
      <w:spacing w:before="120" w:after="0" w:line="360" w:lineRule="auto"/>
      <w:jc w:val="both"/>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2"/>
    <w:basedOn w:val="Normal"/>
    <w:link w:val="Normal2Char"/>
    <w:qFormat/>
    <w:rsid w:val="007E08C9"/>
    <w:pPr>
      <w:ind w:firstLine="476"/>
    </w:pPr>
  </w:style>
  <w:style w:type="character" w:customStyle="1" w:styleId="Normal2Char">
    <w:name w:val="Normal2 Char"/>
    <w:basedOn w:val="DefaultParagraphFont"/>
    <w:link w:val="Normal2"/>
    <w:rsid w:val="007E08C9"/>
    <w:rPr>
      <w:rFonts w:ascii="Times New Roman" w:eastAsia="Times New Roman" w:hAnsi="Times New Roman" w:cs="Times New Roman"/>
      <w:sz w:val="24"/>
      <w:szCs w:val="24"/>
      <w:lang w:eastAsia="en-AU"/>
    </w:rPr>
  </w:style>
  <w:style w:type="paragraph" w:customStyle="1" w:styleId="Normal0">
    <w:name w:val="Normal_0"/>
    <w:basedOn w:val="Normal"/>
    <w:next w:val="Normal2"/>
    <w:link w:val="Normal0Char"/>
    <w:qFormat/>
    <w:rsid w:val="007E08C9"/>
    <w:pPr>
      <w:spacing w:before="0"/>
    </w:pPr>
  </w:style>
  <w:style w:type="character" w:customStyle="1" w:styleId="Normal0Char">
    <w:name w:val="Normal_0 Char"/>
    <w:basedOn w:val="DefaultParagraphFont"/>
    <w:link w:val="Normal0"/>
    <w:rsid w:val="007E08C9"/>
    <w:rPr>
      <w:rFonts w:ascii="Times New Roman" w:eastAsia="Times New Roman" w:hAnsi="Times New Roman" w:cs="Times New Roman"/>
      <w:sz w:val="24"/>
      <w:szCs w:val="24"/>
      <w:lang w:eastAsia="en-AU"/>
    </w:rPr>
  </w:style>
  <w:style w:type="paragraph" w:styleId="Quote">
    <w:name w:val="Quote"/>
    <w:basedOn w:val="Normal"/>
    <w:next w:val="Normal2a"/>
    <w:link w:val="QuoteChar"/>
    <w:uiPriority w:val="29"/>
    <w:qFormat/>
    <w:rsid w:val="007E08C9"/>
    <w:pPr>
      <w:spacing w:before="0" w:after="120" w:line="240" w:lineRule="auto"/>
      <w:ind w:left="567"/>
    </w:pPr>
    <w:rPr>
      <w:sz w:val="20"/>
    </w:rPr>
  </w:style>
  <w:style w:type="character" w:customStyle="1" w:styleId="QuoteChar">
    <w:name w:val="Quote Char"/>
    <w:basedOn w:val="DefaultParagraphFont"/>
    <w:link w:val="Quote"/>
    <w:uiPriority w:val="29"/>
    <w:rsid w:val="007E08C9"/>
    <w:rPr>
      <w:rFonts w:ascii="Times New Roman" w:eastAsia="Times New Roman" w:hAnsi="Times New Roman" w:cs="Times New Roman"/>
      <w:sz w:val="20"/>
      <w:szCs w:val="24"/>
      <w:lang w:eastAsia="en-AU"/>
    </w:rPr>
  </w:style>
  <w:style w:type="paragraph" w:customStyle="1" w:styleId="Normal2a">
    <w:name w:val="Normal2a"/>
    <w:basedOn w:val="Normal2"/>
    <w:qFormat/>
    <w:rsid w:val="007E08C9"/>
    <w:pPr>
      <w:spacing w:before="160"/>
    </w:pPr>
  </w:style>
  <w:style w:type="paragraph" w:styleId="FootnoteText">
    <w:name w:val="footnote text"/>
    <w:aliases w:val="Footnote Text Char1 Char,Footnote Text Char Char Char"/>
    <w:basedOn w:val="Normal"/>
    <w:next w:val="FootnoteText2"/>
    <w:link w:val="FootnoteTextChar"/>
    <w:unhideWhenUsed/>
    <w:qFormat/>
    <w:rsid w:val="00B319AE"/>
    <w:pPr>
      <w:spacing w:line="240" w:lineRule="auto"/>
      <w:ind w:hanging="170"/>
    </w:pPr>
    <w:rPr>
      <w:sz w:val="20"/>
      <w:szCs w:val="20"/>
    </w:rPr>
  </w:style>
  <w:style w:type="character" w:customStyle="1" w:styleId="FootnoteTextChar">
    <w:name w:val="Footnote Text Char"/>
    <w:aliases w:val="Footnote Text Char1 Char Char,Footnote Text Char Char Char Char"/>
    <w:basedOn w:val="DefaultParagraphFont"/>
    <w:link w:val="FootnoteText"/>
    <w:rsid w:val="00B319AE"/>
    <w:rPr>
      <w:rFonts w:ascii="Times New Roman" w:eastAsia="Times New Roman" w:hAnsi="Times New Roman" w:cs="Times New Roman"/>
      <w:sz w:val="20"/>
      <w:szCs w:val="20"/>
      <w:lang w:eastAsia="en-AU"/>
    </w:rPr>
  </w:style>
  <w:style w:type="character" w:styleId="FootnoteReference">
    <w:name w:val="footnote reference"/>
    <w:basedOn w:val="DefaultParagraphFont"/>
    <w:unhideWhenUsed/>
    <w:rsid w:val="007E08C9"/>
    <w:rPr>
      <w:vertAlign w:val="superscript"/>
    </w:rPr>
  </w:style>
  <w:style w:type="paragraph" w:styleId="Header">
    <w:name w:val="header"/>
    <w:basedOn w:val="Normal"/>
    <w:link w:val="HeaderChar"/>
    <w:uiPriority w:val="99"/>
    <w:unhideWhenUsed/>
    <w:rsid w:val="007E08C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E08C9"/>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E08C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E08C9"/>
    <w:rPr>
      <w:rFonts w:ascii="Times New Roman" w:eastAsia="Times New Roman" w:hAnsi="Times New Roman" w:cs="Times New Roman"/>
      <w:sz w:val="24"/>
      <w:szCs w:val="24"/>
      <w:lang w:eastAsia="en-AU"/>
    </w:rPr>
  </w:style>
  <w:style w:type="paragraph" w:customStyle="1" w:styleId="FootnoteText2">
    <w:name w:val="Footnote Text 2"/>
    <w:basedOn w:val="FootnoteText"/>
    <w:link w:val="FootnoteText2Char"/>
    <w:qFormat/>
    <w:rsid w:val="00B319AE"/>
    <w:pPr>
      <w:ind w:firstLine="0"/>
    </w:pPr>
  </w:style>
  <w:style w:type="character" w:customStyle="1" w:styleId="FootnoteText2Char">
    <w:name w:val="Footnote Text 2 Char"/>
    <w:basedOn w:val="FootnoteTextChar"/>
    <w:link w:val="FootnoteText2"/>
    <w:rsid w:val="00B319AE"/>
    <w:rPr>
      <w:rFonts w:ascii="Times New Roman" w:eastAsia="Times New Roman" w:hAnsi="Times New Roman" w:cs="Times New Roman"/>
      <w:sz w:val="20"/>
      <w:szCs w:val="20"/>
      <w:lang w:eastAsia="en-AU"/>
    </w:rPr>
  </w:style>
  <w:style w:type="table" w:styleId="TableGrid">
    <w:name w:val="Table Grid"/>
    <w:basedOn w:val="TableNormal"/>
    <w:uiPriority w:val="39"/>
    <w:rsid w:val="00AA79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265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654"/>
    <w:rPr>
      <w:rFonts w:ascii="Segoe UI" w:hAnsi="Segoe UI" w:cs="Segoe UI"/>
      <w:sz w:val="18"/>
      <w:szCs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9AE"/>
    <w:pPr>
      <w:spacing w:before="120" w:after="0" w:line="360" w:lineRule="auto"/>
      <w:jc w:val="both"/>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2"/>
    <w:basedOn w:val="Normal"/>
    <w:link w:val="Normal2Char"/>
    <w:qFormat/>
    <w:rsid w:val="007E08C9"/>
    <w:pPr>
      <w:ind w:firstLine="476"/>
    </w:pPr>
  </w:style>
  <w:style w:type="character" w:customStyle="1" w:styleId="Normal2Char">
    <w:name w:val="Normal2 Char"/>
    <w:basedOn w:val="DefaultParagraphFont"/>
    <w:link w:val="Normal2"/>
    <w:rsid w:val="007E08C9"/>
    <w:rPr>
      <w:rFonts w:ascii="Times New Roman" w:eastAsia="Times New Roman" w:hAnsi="Times New Roman" w:cs="Times New Roman"/>
      <w:sz w:val="24"/>
      <w:szCs w:val="24"/>
      <w:lang w:eastAsia="en-AU"/>
    </w:rPr>
  </w:style>
  <w:style w:type="paragraph" w:customStyle="1" w:styleId="Normal0">
    <w:name w:val="Normal_0"/>
    <w:basedOn w:val="Normal"/>
    <w:next w:val="Normal2"/>
    <w:link w:val="Normal0Char"/>
    <w:qFormat/>
    <w:rsid w:val="007E08C9"/>
    <w:pPr>
      <w:spacing w:before="0"/>
    </w:pPr>
  </w:style>
  <w:style w:type="character" w:customStyle="1" w:styleId="Normal0Char">
    <w:name w:val="Normal_0 Char"/>
    <w:basedOn w:val="DefaultParagraphFont"/>
    <w:link w:val="Normal0"/>
    <w:rsid w:val="007E08C9"/>
    <w:rPr>
      <w:rFonts w:ascii="Times New Roman" w:eastAsia="Times New Roman" w:hAnsi="Times New Roman" w:cs="Times New Roman"/>
      <w:sz w:val="24"/>
      <w:szCs w:val="24"/>
      <w:lang w:eastAsia="en-AU"/>
    </w:rPr>
  </w:style>
  <w:style w:type="paragraph" w:styleId="Quote">
    <w:name w:val="Quote"/>
    <w:basedOn w:val="Normal"/>
    <w:next w:val="Normal2a"/>
    <w:link w:val="QuoteChar"/>
    <w:uiPriority w:val="29"/>
    <w:qFormat/>
    <w:rsid w:val="007E08C9"/>
    <w:pPr>
      <w:spacing w:before="0" w:after="120" w:line="240" w:lineRule="auto"/>
      <w:ind w:left="567"/>
    </w:pPr>
    <w:rPr>
      <w:sz w:val="20"/>
    </w:rPr>
  </w:style>
  <w:style w:type="character" w:customStyle="1" w:styleId="QuoteChar">
    <w:name w:val="Quote Char"/>
    <w:basedOn w:val="DefaultParagraphFont"/>
    <w:link w:val="Quote"/>
    <w:uiPriority w:val="29"/>
    <w:rsid w:val="007E08C9"/>
    <w:rPr>
      <w:rFonts w:ascii="Times New Roman" w:eastAsia="Times New Roman" w:hAnsi="Times New Roman" w:cs="Times New Roman"/>
      <w:sz w:val="20"/>
      <w:szCs w:val="24"/>
      <w:lang w:eastAsia="en-AU"/>
    </w:rPr>
  </w:style>
  <w:style w:type="paragraph" w:customStyle="1" w:styleId="Normal2a">
    <w:name w:val="Normal2a"/>
    <w:basedOn w:val="Normal2"/>
    <w:qFormat/>
    <w:rsid w:val="007E08C9"/>
    <w:pPr>
      <w:spacing w:before="160"/>
    </w:pPr>
  </w:style>
  <w:style w:type="paragraph" w:styleId="FootnoteText">
    <w:name w:val="footnote text"/>
    <w:aliases w:val="Footnote Text Char1 Char,Footnote Text Char Char Char"/>
    <w:basedOn w:val="Normal"/>
    <w:next w:val="FootnoteText2"/>
    <w:link w:val="FootnoteTextChar"/>
    <w:unhideWhenUsed/>
    <w:qFormat/>
    <w:rsid w:val="00B319AE"/>
    <w:pPr>
      <w:spacing w:line="240" w:lineRule="auto"/>
      <w:ind w:hanging="170"/>
    </w:pPr>
    <w:rPr>
      <w:sz w:val="20"/>
      <w:szCs w:val="20"/>
    </w:rPr>
  </w:style>
  <w:style w:type="character" w:customStyle="1" w:styleId="FootnoteTextChar">
    <w:name w:val="Footnote Text Char"/>
    <w:aliases w:val="Footnote Text Char1 Char Char,Footnote Text Char Char Char Char"/>
    <w:basedOn w:val="DefaultParagraphFont"/>
    <w:link w:val="FootnoteText"/>
    <w:rsid w:val="00B319AE"/>
    <w:rPr>
      <w:rFonts w:ascii="Times New Roman" w:eastAsia="Times New Roman" w:hAnsi="Times New Roman" w:cs="Times New Roman"/>
      <w:sz w:val="20"/>
      <w:szCs w:val="20"/>
      <w:lang w:eastAsia="en-AU"/>
    </w:rPr>
  </w:style>
  <w:style w:type="character" w:styleId="FootnoteReference">
    <w:name w:val="footnote reference"/>
    <w:basedOn w:val="DefaultParagraphFont"/>
    <w:unhideWhenUsed/>
    <w:rsid w:val="007E08C9"/>
    <w:rPr>
      <w:vertAlign w:val="superscript"/>
    </w:rPr>
  </w:style>
  <w:style w:type="paragraph" w:styleId="Header">
    <w:name w:val="header"/>
    <w:basedOn w:val="Normal"/>
    <w:link w:val="HeaderChar"/>
    <w:uiPriority w:val="99"/>
    <w:unhideWhenUsed/>
    <w:rsid w:val="007E08C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E08C9"/>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E08C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E08C9"/>
    <w:rPr>
      <w:rFonts w:ascii="Times New Roman" w:eastAsia="Times New Roman" w:hAnsi="Times New Roman" w:cs="Times New Roman"/>
      <w:sz w:val="24"/>
      <w:szCs w:val="24"/>
      <w:lang w:eastAsia="en-AU"/>
    </w:rPr>
  </w:style>
  <w:style w:type="paragraph" w:customStyle="1" w:styleId="FootnoteText2">
    <w:name w:val="Footnote Text 2"/>
    <w:basedOn w:val="FootnoteText"/>
    <w:link w:val="FootnoteText2Char"/>
    <w:qFormat/>
    <w:rsid w:val="00B319AE"/>
    <w:pPr>
      <w:ind w:firstLine="0"/>
    </w:pPr>
  </w:style>
  <w:style w:type="character" w:customStyle="1" w:styleId="FootnoteText2Char">
    <w:name w:val="Footnote Text 2 Char"/>
    <w:basedOn w:val="FootnoteTextChar"/>
    <w:link w:val="FootnoteText2"/>
    <w:rsid w:val="00B319AE"/>
    <w:rPr>
      <w:rFonts w:ascii="Times New Roman" w:eastAsia="Times New Roman" w:hAnsi="Times New Roman" w:cs="Times New Roman"/>
      <w:sz w:val="20"/>
      <w:szCs w:val="20"/>
      <w:lang w:eastAsia="en-AU"/>
    </w:rPr>
  </w:style>
  <w:style w:type="table" w:styleId="TableGrid">
    <w:name w:val="Table Grid"/>
    <w:basedOn w:val="TableNormal"/>
    <w:uiPriority w:val="39"/>
    <w:rsid w:val="00AA79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265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654"/>
    <w:rPr>
      <w:rFonts w:ascii="Segoe UI"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J Document" ma:contentTypeID="0x01010077DC2A28846341C9915EFC7988C44A4F0012F6434D7DB2954890BEF4AB09120471" ma:contentTypeVersion="2" ma:contentTypeDescription="" ma:contentTypeScope="" ma:versionID="5817a8b781cc76d2b089d2fdbf58d1d0">
  <xsd:schema xmlns:xsd="http://www.w3.org/2001/XMLSchema" xmlns:xs="http://www.w3.org/2001/XMLSchema" xmlns:p="http://schemas.microsoft.com/office/2006/metadata/properties" xmlns:ns3="78ceabd1-b973-4272-a749-19f2930e93ab" xmlns:ns4="87344c60-ab29-4a7d-a5aa-eac6cada4c44" targetNamespace="http://schemas.microsoft.com/office/2006/metadata/properties" ma:root="true" ma:fieldsID="27fff4491d7cccc3c68d4a92fce93de7" ns3:_="" ns4:_="">
    <xsd:import namespace="78ceabd1-b973-4272-a749-19f2930e93ab"/>
    <xsd:import namespace="87344c60-ab29-4a7d-a5aa-eac6cada4c44"/>
    <xsd:element name="properties">
      <xsd:complexType>
        <xsd:sequence>
          <xsd:element name="documentManagement">
            <xsd:complexType>
              <xsd:all>
                <xsd:element ref="ns3:TaxCatchAll" minOccurs="0"/>
                <xsd:element ref="ns4:ne8158a489a9473f9c54eecb4c21131b" minOccurs="0"/>
                <xsd:element ref="ns4:bc56bdda6a6a44c48d8cfdd96ad4c1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eabd1-b973-4272-a749-19f2930e93a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b37d10e-59b7-4628-af38-7a63eae7c994}" ma:internalName="TaxCatchAll" ma:showField="CatchAllData" ma:web="78ceabd1-b973-4272-a749-19f2930e93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344c60-ab29-4a7d-a5aa-eac6cada4c44" elementFormDefault="qualified">
    <xsd:import namespace="http://schemas.microsoft.com/office/2006/documentManagement/types"/>
    <xsd:import namespace="http://schemas.microsoft.com/office/infopath/2007/PartnerControls"/>
    <xsd:element name="ne8158a489a9473f9c54eecb4c21131b" ma:index="11" ma:taxonomy="true" ma:internalName="ne8158a489a9473f9c54eecb4c21131b" ma:taxonomyFieldName="Content_x0020_tags" ma:displayName="Content tags" ma:fieldId="{7e8158a4-89a9-473f-9c54-eecb4c21131b}" ma:taxonomyMulti="true" ma:sspId="f6e08d11-6f9a-422e-94df-5713af838a64" ma:termSetId="a069c314-3269-420f-97d4-651b5f06edc3" ma:anchorId="00000000-0000-0000-0000-000000000000" ma:open="false" ma:isKeyword="false">
      <xsd:complexType>
        <xsd:sequence>
          <xsd:element ref="pc:Terms" minOccurs="0" maxOccurs="1"/>
        </xsd:sequence>
      </xsd:complexType>
    </xsd:element>
    <xsd:element name="bc56bdda6a6a44c48d8cfdd96ad4c147" ma:index="12" nillable="true" ma:taxonomy="true" ma:internalName="bc56bdda6a6a44c48d8cfdd96ad4c147" ma:taxonomyFieldName="DC_x002e_Type_x002e_DocType_x0020__x0028_JSMS" ma:displayName="DC.Type.DocType (JSMS)" ma:fieldId="{bc56bdda-6a6a-44c4-8d8c-fdd96ad4c147}" ma:sspId="f6e08d11-6f9a-422e-94df-5713af838a64" ma:termSetId="b3e06974-9d97-43bf-b4dd-d0f5e0db0e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8158a489a9473f9c54eecb4c21131b xmlns="87344c60-ab29-4a7d-a5aa-eac6cada4c44">
      <Terms xmlns="http://schemas.microsoft.com/office/infopath/2007/PartnerControls">
        <TermInfo xmlns="http://schemas.microsoft.com/office/infopath/2007/PartnerControls">
          <TermName xmlns="http://schemas.microsoft.com/office/infopath/2007/PartnerControls">Practice ＆ Procedure</TermName>
          <TermId xmlns="http://schemas.microsoft.com/office/infopath/2007/PartnerControls">d8e3c0fd-ea53-4996-b625-6e85354f2479</TermId>
        </TermInfo>
      </Terms>
    </ne8158a489a9473f9c54eecb4c21131b>
    <bc56bdda6a6a44c48d8cfdd96ad4c147 xmlns="87344c60-ab29-4a7d-a5aa-eac6cada4c44">
      <Terms xmlns="http://schemas.microsoft.com/office/infopath/2007/PartnerControls">
        <TermInfo xmlns="http://schemas.microsoft.com/office/infopath/2007/PartnerControls">
          <TermName xmlns="http://schemas.microsoft.com/office/infopath/2007/PartnerControls">Procedure</TermName>
          <TermId xmlns="http://schemas.microsoft.com/office/infopath/2007/PartnerControls">679fd585-9f02-4584-aa41-04d4b54fb33e</TermId>
        </TermInfo>
      </Terms>
    </bc56bdda6a6a44c48d8cfdd96ad4c147>
    <TaxCatchAll xmlns="78ceabd1-b973-4272-a749-19f2930e93ab">
      <Value>102</Value>
      <Value>15</Value>
    </TaxCatchAll>
  </documentManagement>
</p:properties>
</file>

<file path=customXml/itemProps1.xml><?xml version="1.0" encoding="utf-8"?>
<ds:datastoreItem xmlns:ds="http://schemas.openxmlformats.org/officeDocument/2006/customXml" ds:itemID="{866A1455-DADF-4F2C-A581-FC532FDF5C32}"/>
</file>

<file path=customXml/itemProps2.xml><?xml version="1.0" encoding="utf-8"?>
<ds:datastoreItem xmlns:ds="http://schemas.openxmlformats.org/officeDocument/2006/customXml" ds:itemID="{8AA85F4E-7415-49BA-B6DA-62D3B5C66F30}"/>
</file>

<file path=customXml/itemProps3.xml><?xml version="1.0" encoding="utf-8"?>
<ds:datastoreItem xmlns:ds="http://schemas.openxmlformats.org/officeDocument/2006/customXml" ds:itemID="{4AFCB601-DACA-4224-AA7F-68AD65670E66}"/>
</file>

<file path=docProps/app.xml><?xml version="1.0" encoding="utf-8"?>
<Properties xmlns="http://schemas.openxmlformats.org/officeDocument/2006/extended-properties" xmlns:vt="http://schemas.openxmlformats.org/officeDocument/2006/docPropsVTypes">
  <Template>F4F72525.dotm</Template>
  <TotalTime>1</TotalTime>
  <Pages>2</Pages>
  <Words>292</Words>
  <Characters>1669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Attorney General &amp; Justice</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Assessment FAQ - Common Objection Codes </dc:title>
  <dc:creator>Mark Brabazon</dc:creator>
  <cp:lastModifiedBy>Alina Iwaszkiewicz</cp:lastModifiedBy>
  <cp:revision>2</cp:revision>
  <cp:lastPrinted>2018-02-13T02:19:00Z</cp:lastPrinted>
  <dcterms:created xsi:type="dcterms:W3CDTF">2018-03-06T00:27:00Z</dcterms:created>
  <dcterms:modified xsi:type="dcterms:W3CDTF">2018-03-06T00:27:00Z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0x01010077DC2A28846341C9915EFC7988C44A4F0012F6434D7DB2954890BEF4AB09120471</vt:lpwstr>
  </property>
  <property fmtid="{D5CDD505-2E9C-101B-9397-08002B2CF9AE}" pid="3" name="Content tags">
    <vt:lpwstr>15;#Practice ＆ Procedure|d8e3c0fd-ea53-4996-b625-6e85354f2479</vt:lpwstr>
  </property>
  <property fmtid="{D5CDD505-2E9C-101B-9397-08002B2CF9AE}" pid="4" name="DC.Type.DocType (JSMS">
    <vt:lpwstr>102;#Procedure|679fd585-9f02-4584-aa41-04d4b54fb33e</vt:lpwstr>
  </property>
</Properties>
</file>