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3761" w14:textId="27BC4528" w:rsidR="00E7660A" w:rsidRPr="005A7004" w:rsidRDefault="007C44E9" w:rsidP="0077573B">
      <w:pPr>
        <w:pStyle w:val="Title"/>
        <w:sectPr w:rsidR="00E7660A" w:rsidRPr="005A7004" w:rsidSect="0077573B">
          <w:headerReference w:type="default" r:id="rId11"/>
          <w:headerReference w:type="first" r:id="rId12"/>
          <w:footerReference w:type="first" r:id="rId13"/>
          <w:pgSz w:w="11910" w:h="16840"/>
          <w:pgMar w:top="1340" w:right="1320" w:bottom="280" w:left="1340" w:header="737" w:footer="709" w:gutter="0"/>
          <w:cols w:space="720"/>
          <w:titlePg/>
          <w:docGrid w:linePitch="299"/>
        </w:sectPr>
      </w:pPr>
      <w:r>
        <w:rPr>
          <w:b w:val="0"/>
          <w:noProof/>
        </w:rPr>
        <mc:AlternateContent>
          <mc:Choice Requires="wps">
            <w:drawing>
              <wp:anchor distT="4294967295" distB="4294967295" distL="114300" distR="114300" simplePos="0" relativeHeight="251658240" behindDoc="0" locked="0" layoutInCell="1" allowOverlap="1" wp14:anchorId="0D256B8E" wp14:editId="2884D479">
                <wp:simplePos x="0" y="0"/>
                <wp:positionH relativeFrom="margin">
                  <wp:align>right</wp:align>
                </wp:positionH>
                <wp:positionV relativeFrom="paragraph">
                  <wp:posOffset>291465</wp:posOffset>
                </wp:positionV>
                <wp:extent cx="5839200" cy="7200"/>
                <wp:effectExtent l="0" t="0" r="28575" b="31115"/>
                <wp:wrapNone/>
                <wp:docPr id="14153116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9200" cy="720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D4806C" id="Straight Connector 22" o:spid="_x0000_s1026" style="position:absolute;flip: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8.6pt,22.95pt" to="86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" strokecolor="#a6a6a6" strokeweight="1pt">
                <v:stroke joinstyle="miter"/>
                <o:lock v:ext="edit" shapetype="f"/>
                <w10:wrap anchorx="margin"/>
              </v:line>
            </w:pict>
          </mc:Fallback>
        </mc:AlternateContent>
      </w:r>
      <w:r w:rsidR="00E7660A" w:rsidRPr="005A7004">
        <w:t xml:space="preserve">Practice Note </w:t>
      </w:r>
      <w:r w:rsidR="00E259E6">
        <w:t>17A</w:t>
      </w:r>
    </w:p>
    <w:p w14:paraId="16A16403" w14:textId="77777777" w:rsidR="007C44E9" w:rsidRPr="0077573B" w:rsidRDefault="007C44E9" w:rsidP="0077573B">
      <w:pPr>
        <w:widowControl/>
        <w:autoSpaceDE/>
        <w:autoSpaceDN/>
        <w:spacing w:after="160" w:line="259" w:lineRule="auto"/>
        <w:rPr>
          <w:rFonts w:eastAsia="Calibri"/>
          <w:kern w:val="2"/>
          <w:sz w:val="20"/>
          <w:szCs w:val="20"/>
          <w:lang w:val="en-AU"/>
        </w:rPr>
      </w:pPr>
    </w:p>
    <w:p w14:paraId="66698DD2" w14:textId="77777777" w:rsidR="0062662F" w:rsidRPr="0077573B" w:rsidRDefault="00E01532" w:rsidP="0077573B">
      <w:pPr>
        <w:pStyle w:val="Subtitle"/>
        <w:rPr>
          <w:b/>
          <w:bCs/>
        </w:rPr>
      </w:pPr>
      <w:r w:rsidRPr="0077573B">
        <w:rPr>
          <w:b/>
          <w:bCs/>
        </w:rPr>
        <w:t>INDUSTRIAL RELATIONS COMMISSION OF NEW SOUTH WALES</w:t>
      </w:r>
    </w:p>
    <w:p w14:paraId="66698DD6" w14:textId="6C931C09" w:rsidR="0062662F" w:rsidRPr="0077573B" w:rsidRDefault="00E01532" w:rsidP="0077573B">
      <w:pPr>
        <w:widowControl/>
        <w:autoSpaceDE/>
        <w:autoSpaceDN/>
        <w:spacing w:after="160" w:line="259" w:lineRule="auto"/>
        <w:jc w:val="center"/>
        <w:rPr>
          <w:rStyle w:val="SubtleEmphasis"/>
          <w:rFonts w:eastAsia="Calibri"/>
          <w:kern w:val="2"/>
          <w:sz w:val="24"/>
          <w:szCs w:val="24"/>
          <w:lang w:val="en-AU"/>
        </w:rPr>
      </w:pPr>
      <w:r w:rsidRPr="0077573B">
        <w:rPr>
          <w:rStyle w:val="SubtleEmphasis"/>
          <w:rFonts w:eastAsia="Calibri"/>
          <w:kern w:val="2"/>
          <w:sz w:val="24"/>
          <w:szCs w:val="24"/>
          <w:lang w:val="en-AU"/>
        </w:rPr>
        <w:t>Issued pursuant to s</w:t>
      </w:r>
      <w:r w:rsidR="007C44E9">
        <w:rPr>
          <w:rStyle w:val="SubtleEmphasis"/>
          <w:rFonts w:eastAsia="Calibri"/>
          <w:kern w:val="2"/>
          <w:sz w:val="24"/>
          <w:szCs w:val="24"/>
          <w:lang w:val="en-AU"/>
        </w:rPr>
        <w:t> </w:t>
      </w:r>
      <w:r w:rsidRPr="0077573B">
        <w:rPr>
          <w:rStyle w:val="SubtleEmphasis"/>
          <w:rFonts w:eastAsia="Calibri"/>
          <w:kern w:val="2"/>
          <w:sz w:val="24"/>
          <w:szCs w:val="24"/>
          <w:lang w:val="en-AU"/>
        </w:rPr>
        <w:t xml:space="preserve">185A of the </w:t>
      </w:r>
      <w:r w:rsidRPr="00A63408">
        <w:rPr>
          <w:rStyle w:val="SubtleEmphasis"/>
          <w:rFonts w:eastAsia="Calibri"/>
          <w:i/>
          <w:kern w:val="2"/>
          <w:sz w:val="24"/>
          <w:szCs w:val="24"/>
          <w:lang w:val="en-AU"/>
        </w:rPr>
        <w:t>Industrial Relations Act 1996</w:t>
      </w:r>
      <w:r w:rsidR="007C44E9">
        <w:rPr>
          <w:rStyle w:val="SubtleEmphasis"/>
          <w:rFonts w:eastAsia="Calibri"/>
          <w:kern w:val="2"/>
          <w:sz w:val="24"/>
          <w:szCs w:val="24"/>
          <w:lang w:val="en-AU"/>
        </w:rPr>
        <w:t xml:space="preserve"> (NSW)</w:t>
      </w:r>
      <w:r w:rsidR="007C44E9">
        <w:rPr>
          <w:rStyle w:val="SubtleEmphasis"/>
          <w:rFonts w:eastAsia="Calibri"/>
          <w:kern w:val="2"/>
          <w:sz w:val="24"/>
          <w:szCs w:val="24"/>
          <w:lang w:val="en-AU"/>
        </w:rPr>
        <w:br/>
      </w:r>
      <w:r w:rsidRPr="0077573B">
        <w:rPr>
          <w:rStyle w:val="SubtleEmphasis"/>
          <w:rFonts w:eastAsia="Calibri"/>
          <w:kern w:val="2"/>
          <w:sz w:val="24"/>
          <w:szCs w:val="24"/>
          <w:lang w:val="en-AU"/>
        </w:rPr>
        <w:t>and s</w:t>
      </w:r>
      <w:r w:rsidR="007C44E9">
        <w:rPr>
          <w:rStyle w:val="SubtleEmphasis"/>
          <w:rFonts w:eastAsia="Calibri"/>
          <w:kern w:val="2"/>
          <w:sz w:val="24"/>
          <w:szCs w:val="24"/>
          <w:lang w:val="en-AU"/>
        </w:rPr>
        <w:t> </w:t>
      </w:r>
      <w:r w:rsidRPr="0077573B">
        <w:rPr>
          <w:rStyle w:val="SubtleEmphasis"/>
          <w:rFonts w:eastAsia="Calibri"/>
          <w:kern w:val="2"/>
          <w:sz w:val="24"/>
          <w:szCs w:val="24"/>
          <w:lang w:val="en-AU"/>
        </w:rPr>
        <w:t xml:space="preserve">15 of the </w:t>
      </w:r>
      <w:r w:rsidRPr="00A63408">
        <w:rPr>
          <w:rStyle w:val="SubtleEmphasis"/>
          <w:rFonts w:eastAsia="Calibri"/>
          <w:i/>
          <w:kern w:val="2"/>
          <w:sz w:val="24"/>
          <w:szCs w:val="24"/>
          <w:lang w:val="en-AU"/>
        </w:rPr>
        <w:t>Civil Procedure Act 2005</w:t>
      </w:r>
      <w:r w:rsidR="007C44E9">
        <w:rPr>
          <w:rStyle w:val="SubtleEmphasis"/>
          <w:rFonts w:eastAsia="Calibri"/>
          <w:kern w:val="2"/>
          <w:sz w:val="24"/>
          <w:szCs w:val="24"/>
          <w:lang w:val="en-AU"/>
        </w:rPr>
        <w:t xml:space="preserve"> (NSW)</w:t>
      </w:r>
    </w:p>
    <w:p w14:paraId="66698DD7" w14:textId="77777777" w:rsidR="0062662F" w:rsidRDefault="0062662F" w:rsidP="0077573B">
      <w:pPr>
        <w:widowControl/>
        <w:autoSpaceDE/>
        <w:autoSpaceDN/>
        <w:spacing w:after="160" w:line="259" w:lineRule="auto"/>
        <w:rPr>
          <w:i/>
        </w:rPr>
      </w:pPr>
    </w:p>
    <w:p w14:paraId="66698DDA" w14:textId="7C3F3D5A" w:rsidR="0062662F" w:rsidRPr="0077573B" w:rsidRDefault="0077030D" w:rsidP="0077573B">
      <w:pPr>
        <w:pStyle w:val="Heading1"/>
        <w:widowControl/>
        <w:autoSpaceDE/>
        <w:autoSpaceDN/>
        <w:spacing w:after="160" w:line="259" w:lineRule="auto"/>
        <w:ind w:left="0" w:firstLine="0"/>
        <w:jc w:val="center"/>
        <w:rPr>
          <w:rFonts w:eastAsia="Times New Roman"/>
          <w:b w:val="0"/>
          <w:smallCaps/>
          <w:kern w:val="2"/>
          <w:sz w:val="24"/>
          <w:szCs w:val="24"/>
          <w:shd w:val="clear" w:color="auto" w:fill="FFFFFF"/>
          <w:lang w:val="en-AU" w:eastAsia="en-AU"/>
        </w:rPr>
      </w:pPr>
      <w:r>
        <w:rPr>
          <w:rFonts w:eastAsia="Times New Roman"/>
          <w:smallCaps/>
          <w:kern w:val="2"/>
          <w:sz w:val="24"/>
          <w:szCs w:val="24"/>
          <w:shd w:val="clear" w:color="auto" w:fill="FFFFFF"/>
          <w:lang w:val="en-AU" w:eastAsia="en-AU"/>
        </w:rPr>
        <w:t xml:space="preserve">Unfair Dismissal </w:t>
      </w:r>
      <w:r w:rsidR="00282339">
        <w:rPr>
          <w:rFonts w:eastAsia="Times New Roman"/>
          <w:smallCaps/>
          <w:kern w:val="2"/>
          <w:sz w:val="24"/>
          <w:szCs w:val="24"/>
          <w:shd w:val="clear" w:color="auto" w:fill="FFFFFF"/>
          <w:lang w:val="en-AU" w:eastAsia="en-AU"/>
        </w:rPr>
        <w:t>A</w:t>
      </w:r>
      <w:r w:rsidR="007C44E9" w:rsidRPr="007C44E9">
        <w:rPr>
          <w:rFonts w:eastAsia="Times New Roman"/>
          <w:smallCaps/>
          <w:kern w:val="2"/>
          <w:sz w:val="24"/>
          <w:szCs w:val="24"/>
          <w:shd w:val="clear" w:color="auto" w:fill="FFFFFF"/>
          <w:lang w:val="en-AU" w:eastAsia="en-AU"/>
        </w:rPr>
        <w:t>pplications</w:t>
      </w:r>
    </w:p>
    <w:p w14:paraId="66698DDD" w14:textId="7AEA2B8B" w:rsidR="0062662F" w:rsidRPr="00CB5182" w:rsidRDefault="00B9525A" w:rsidP="0077573B">
      <w:pPr>
        <w:pStyle w:val="Heading2"/>
      </w:pPr>
      <w:r>
        <w:t>Commencement</w:t>
      </w:r>
    </w:p>
    <w:p w14:paraId="6FB5E5C8" w14:textId="79C8EF2B" w:rsidR="003C137F" w:rsidRDefault="00E01532" w:rsidP="0077573B">
      <w:pPr>
        <w:pStyle w:val="1stLevel"/>
      </w:pPr>
      <w:r>
        <w:t xml:space="preserve">This Practice Note </w:t>
      </w:r>
      <w:r w:rsidR="00CC2232">
        <w:t xml:space="preserve">shall </w:t>
      </w:r>
      <w:r w:rsidR="008B1CA3">
        <w:t xml:space="preserve">commence </w:t>
      </w:r>
      <w:r w:rsidR="00CC2232">
        <w:t xml:space="preserve">on </w:t>
      </w:r>
      <w:r>
        <w:t>the date of issue.</w:t>
      </w:r>
    </w:p>
    <w:p w14:paraId="639C39C0" w14:textId="47446E43" w:rsidR="00B658F1" w:rsidRDefault="003C137F" w:rsidP="0077573B">
      <w:pPr>
        <w:pStyle w:val="Heading2"/>
      </w:pPr>
      <w:r w:rsidRPr="00CB5182">
        <w:t>Application</w:t>
      </w:r>
    </w:p>
    <w:p w14:paraId="330BF0F4" w14:textId="03016E5C" w:rsidR="00CF5A31" w:rsidRDefault="00CF5A31">
      <w:pPr>
        <w:pStyle w:val="1stLevel"/>
      </w:pPr>
      <w:r>
        <w:t xml:space="preserve">This Practice Note applies to unfair dismissal </w:t>
      </w:r>
      <w:r w:rsidR="0069077D">
        <w:t xml:space="preserve">(including threatened dismissal) </w:t>
      </w:r>
      <w:r w:rsidR="00D40F2F">
        <w:t xml:space="preserve">applications </w:t>
      </w:r>
      <w:r w:rsidR="0061478D">
        <w:t xml:space="preserve">made </w:t>
      </w:r>
      <w:r w:rsidR="00D40F2F">
        <w:t>under s</w:t>
      </w:r>
      <w:r w:rsidR="00786083">
        <w:t> </w:t>
      </w:r>
      <w:r w:rsidR="00A062FA" w:rsidRPr="00A062FA">
        <w:t xml:space="preserve">84 </w:t>
      </w:r>
      <w:r w:rsidR="00D40F2F" w:rsidRPr="00A062FA">
        <w:t xml:space="preserve">of the </w:t>
      </w:r>
      <w:r w:rsidR="00D40F2F" w:rsidRPr="0077573B">
        <w:rPr>
          <w:i/>
          <w:iCs/>
        </w:rPr>
        <w:t>Industrial Relations Act 1996</w:t>
      </w:r>
      <w:r w:rsidR="00D40F2F" w:rsidRPr="00A062FA">
        <w:t xml:space="preserve"> (</w:t>
      </w:r>
      <w:r w:rsidR="00D40F2F">
        <w:t>NSW</w:t>
      </w:r>
      <w:r w:rsidR="00D40F2F" w:rsidRPr="00A062FA">
        <w:t>)</w:t>
      </w:r>
      <w:r w:rsidR="0061478D">
        <w:t xml:space="preserve"> (</w:t>
      </w:r>
      <w:r w:rsidR="002F5BC4" w:rsidRPr="002D0109">
        <w:rPr>
          <w:b/>
          <w:bCs/>
        </w:rPr>
        <w:t>the Act</w:t>
      </w:r>
      <w:r w:rsidR="002F5BC4">
        <w:t>)</w:t>
      </w:r>
      <w:r w:rsidR="00D40F2F">
        <w:t>.</w:t>
      </w:r>
    </w:p>
    <w:p w14:paraId="188A8B18" w14:textId="2987154E" w:rsidR="002F5BC4" w:rsidRDefault="002F5BC4" w:rsidP="0077573B">
      <w:pPr>
        <w:pStyle w:val="Heading2"/>
      </w:pPr>
      <w:r>
        <w:t xml:space="preserve">Commencement of </w:t>
      </w:r>
      <w:r w:rsidR="00610060">
        <w:t>p</w:t>
      </w:r>
      <w:r>
        <w:t>roceedings</w:t>
      </w:r>
    </w:p>
    <w:p w14:paraId="142623E4" w14:textId="1187E51A" w:rsidR="004022B2" w:rsidRDefault="00B658F1" w:rsidP="0077573B">
      <w:pPr>
        <w:pStyle w:val="1stLevel"/>
      </w:pPr>
      <w:r>
        <w:t xml:space="preserve">An </w:t>
      </w:r>
      <w:r w:rsidR="00D2269D">
        <w:t xml:space="preserve">unfair dismissal </w:t>
      </w:r>
      <w:r>
        <w:t xml:space="preserve">application </w:t>
      </w:r>
      <w:r w:rsidR="00F10403">
        <w:t>is</w:t>
      </w:r>
      <w:r>
        <w:t xml:space="preserve"> </w:t>
      </w:r>
      <w:r w:rsidR="003839C4">
        <w:t xml:space="preserve">commenced by filing </w:t>
      </w:r>
      <w:hyperlink r:id="rId14" w:history="1">
        <w:r w:rsidR="007D126A" w:rsidRPr="007D126A">
          <w:rPr>
            <w:rStyle w:val="Hyperlink"/>
          </w:rPr>
          <w:t>Form 7A – Unfair Dismissal</w:t>
        </w:r>
      </w:hyperlink>
      <w:r w:rsidR="007D126A">
        <w:t xml:space="preserve"> </w:t>
      </w:r>
      <w:r w:rsidR="003B03E5">
        <w:t>using</w:t>
      </w:r>
      <w:r w:rsidR="002B42E6">
        <w:t xml:space="preserve"> the</w:t>
      </w:r>
      <w:r>
        <w:t xml:space="preserve"> Online Registry</w:t>
      </w:r>
      <w:r w:rsidR="00D0589D">
        <w:t xml:space="preserve">.  </w:t>
      </w:r>
      <w:r w:rsidR="00FA10A7">
        <w:t>Alternatively,</w:t>
      </w:r>
      <w:r w:rsidR="000D56E6">
        <w:t xml:space="preserve"> </w:t>
      </w:r>
      <w:r w:rsidR="00895090">
        <w:t xml:space="preserve">an </w:t>
      </w:r>
      <w:r w:rsidR="009366F4">
        <w:t xml:space="preserve">unfair dismissal </w:t>
      </w:r>
      <w:r w:rsidR="00567865">
        <w:t xml:space="preserve">application </w:t>
      </w:r>
      <w:r w:rsidR="000D56E6">
        <w:t xml:space="preserve">can be filed </w:t>
      </w:r>
      <w:r w:rsidR="005B0181">
        <w:t>in person or by post</w:t>
      </w:r>
      <w:r w:rsidR="00617987">
        <w:t xml:space="preserve"> in accordance with </w:t>
      </w:r>
      <w:r w:rsidR="00567865">
        <w:t xml:space="preserve">r </w:t>
      </w:r>
      <w:r w:rsidR="00617987">
        <w:t>2.5</w:t>
      </w:r>
      <w:r w:rsidR="00567865">
        <w:t xml:space="preserve"> of the </w:t>
      </w:r>
      <w:r w:rsidR="00D47EAE" w:rsidRPr="0077573B">
        <w:rPr>
          <w:i/>
          <w:iCs/>
        </w:rPr>
        <w:t>Industrial Relations Commission Rules 2022</w:t>
      </w:r>
      <w:r w:rsidR="00D47EAE">
        <w:t xml:space="preserve"> </w:t>
      </w:r>
      <w:r w:rsidR="00910551">
        <w:t xml:space="preserve">(NSW) </w:t>
      </w:r>
      <w:r w:rsidR="00D47EAE">
        <w:t>(</w:t>
      </w:r>
      <w:r w:rsidR="00D47EAE" w:rsidRPr="002D0109">
        <w:rPr>
          <w:b/>
          <w:bCs/>
        </w:rPr>
        <w:t>the Rules</w:t>
      </w:r>
      <w:r w:rsidR="00D47EAE">
        <w:t>)</w:t>
      </w:r>
      <w:r w:rsidR="00617987">
        <w:t xml:space="preserve">. </w:t>
      </w:r>
      <w:r w:rsidR="00567865">
        <w:t xml:space="preserve"> </w:t>
      </w:r>
      <w:r w:rsidR="00910551">
        <w:t xml:space="preserve">An unfair dismissal application </w:t>
      </w:r>
      <w:r w:rsidR="008E2B2C">
        <w:t xml:space="preserve">can </w:t>
      </w:r>
      <w:r w:rsidR="00677D8C">
        <w:t xml:space="preserve">only </w:t>
      </w:r>
      <w:r w:rsidR="008E2B2C">
        <w:t xml:space="preserve">be filed by email if </w:t>
      </w:r>
      <w:r w:rsidR="004B7861">
        <w:t>it cannot be filed using the</w:t>
      </w:r>
      <w:r w:rsidR="008E2B2C">
        <w:t xml:space="preserve"> Online Registry</w:t>
      </w:r>
      <w:r w:rsidR="004B7861">
        <w:t>.</w:t>
      </w:r>
    </w:p>
    <w:p w14:paraId="340761E8" w14:textId="256CC474" w:rsidR="004022B2" w:rsidRPr="00CB5182" w:rsidRDefault="004022B2" w:rsidP="0077573B">
      <w:pPr>
        <w:pStyle w:val="Heading2"/>
      </w:pPr>
      <w:r w:rsidRPr="00CB5182">
        <w:t xml:space="preserve">Response to </w:t>
      </w:r>
      <w:r w:rsidR="00610060">
        <w:t>u</w:t>
      </w:r>
      <w:r w:rsidR="003C5FC6">
        <w:t xml:space="preserve">nfair </w:t>
      </w:r>
      <w:r w:rsidR="00610060">
        <w:t>d</w:t>
      </w:r>
      <w:r w:rsidR="003C5FC6">
        <w:t xml:space="preserve">ismissal </w:t>
      </w:r>
      <w:r w:rsidR="00610060">
        <w:t>a</w:t>
      </w:r>
      <w:r w:rsidRPr="00CB5182">
        <w:t>pplication</w:t>
      </w:r>
    </w:p>
    <w:p w14:paraId="27BE498A" w14:textId="01A0BA19" w:rsidR="00921301" w:rsidRPr="00B9525A" w:rsidRDefault="00921301" w:rsidP="0077573B">
      <w:pPr>
        <w:pStyle w:val="1stLevel"/>
      </w:pPr>
      <w:r>
        <w:t xml:space="preserve">The </w:t>
      </w:r>
      <w:r w:rsidR="00411B74">
        <w:t xml:space="preserve">employer </w:t>
      </w:r>
      <w:r w:rsidR="00683E4A">
        <w:t xml:space="preserve">response to an </w:t>
      </w:r>
      <w:r w:rsidR="005C4820">
        <w:t xml:space="preserve">unfair dismissal </w:t>
      </w:r>
      <w:r w:rsidR="00683E4A">
        <w:t xml:space="preserve">application </w:t>
      </w:r>
      <w:r w:rsidR="00D2269D">
        <w:t>must</w:t>
      </w:r>
      <w:r w:rsidR="00683E4A">
        <w:t xml:space="preserve"> be </w:t>
      </w:r>
      <w:r w:rsidR="0060547D">
        <w:t>filed at least 48</w:t>
      </w:r>
      <w:r w:rsidR="002D0109">
        <w:t> </w:t>
      </w:r>
      <w:r w:rsidR="0060547D">
        <w:t>hours</w:t>
      </w:r>
      <w:r w:rsidR="00B8348E">
        <w:t xml:space="preserve"> before the </w:t>
      </w:r>
      <w:r w:rsidR="00E071FB">
        <w:t>commencement of the first listing</w:t>
      </w:r>
      <w:r w:rsidR="00786083">
        <w:t xml:space="preserve"> of the application before the Commission</w:t>
      </w:r>
      <w:r w:rsidR="00B8348E">
        <w:t>.</w:t>
      </w:r>
    </w:p>
    <w:p w14:paraId="004927E1" w14:textId="13AA94DA" w:rsidR="004022B2" w:rsidRPr="00B9525A" w:rsidRDefault="00B8348E" w:rsidP="0077573B">
      <w:pPr>
        <w:pStyle w:val="1stLevel"/>
      </w:pPr>
      <w:r>
        <w:t xml:space="preserve">The response </w:t>
      </w:r>
      <w:r w:rsidR="00E45DC2">
        <w:t xml:space="preserve">to an unfair dismissal application </w:t>
      </w:r>
      <w:r w:rsidRPr="00E7660A">
        <w:t xml:space="preserve">should be </w:t>
      </w:r>
      <w:r w:rsidR="007F48BF">
        <w:t xml:space="preserve">made by filing </w:t>
      </w:r>
      <w:hyperlink r:id="rId15" w:history="1">
        <w:r w:rsidR="007F48BF" w:rsidRPr="00700A9B">
          <w:rPr>
            <w:rStyle w:val="Hyperlink"/>
          </w:rPr>
          <w:t>Form 7B – Employer’s response to unfair dismissal</w:t>
        </w:r>
      </w:hyperlink>
      <w:r w:rsidR="007F48BF">
        <w:t xml:space="preserve"> </w:t>
      </w:r>
      <w:r w:rsidR="00700A9B">
        <w:t xml:space="preserve">in </w:t>
      </w:r>
      <w:r w:rsidRPr="00E7660A">
        <w:t xml:space="preserve">the Online Registry.  </w:t>
      </w:r>
      <w:r w:rsidR="00FA10A7" w:rsidRPr="00E7660A">
        <w:t>Alternatively,</w:t>
      </w:r>
      <w:r w:rsidRPr="00E7660A">
        <w:t xml:space="preserve"> </w:t>
      </w:r>
      <w:r w:rsidR="00A221C3">
        <w:t xml:space="preserve">the </w:t>
      </w:r>
      <w:r w:rsidR="003C5FC6">
        <w:t xml:space="preserve">response to an unfair dismissal application </w:t>
      </w:r>
      <w:r w:rsidRPr="00E7660A">
        <w:t xml:space="preserve">can be filed in person or by post in accordance with </w:t>
      </w:r>
      <w:r w:rsidR="00A221C3">
        <w:t xml:space="preserve">r </w:t>
      </w:r>
      <w:r w:rsidRPr="00E7660A">
        <w:t>2.5</w:t>
      </w:r>
      <w:r w:rsidR="00A221C3">
        <w:t xml:space="preserve"> of the Rules</w:t>
      </w:r>
      <w:r w:rsidRPr="00E7660A">
        <w:t xml:space="preserve">. </w:t>
      </w:r>
      <w:r w:rsidR="00A221C3">
        <w:t xml:space="preserve">The </w:t>
      </w:r>
      <w:r w:rsidR="003C5FC6">
        <w:t xml:space="preserve">response to an unfair dismissal application </w:t>
      </w:r>
      <w:r w:rsidRPr="00E7660A">
        <w:t>can be filed by email only if it cannot be filed using the Online Registry.</w:t>
      </w:r>
    </w:p>
    <w:p w14:paraId="70DB62BC" w14:textId="121D309C" w:rsidR="00356E2E" w:rsidRPr="00CB5182" w:rsidRDefault="00201A92" w:rsidP="0077573B">
      <w:pPr>
        <w:pStyle w:val="Heading2"/>
      </w:pPr>
      <w:r w:rsidRPr="00CB5182">
        <w:t>Procedural</w:t>
      </w:r>
      <w:r w:rsidR="00103171" w:rsidRPr="00CB5182">
        <w:t xml:space="preserve"> </w:t>
      </w:r>
      <w:r w:rsidR="00610060">
        <w:t>a</w:t>
      </w:r>
      <w:r w:rsidR="00103171" w:rsidRPr="00CB5182">
        <w:t>pplications</w:t>
      </w:r>
    </w:p>
    <w:p w14:paraId="6688CDAD" w14:textId="1AF6D14C" w:rsidR="00C72414" w:rsidRDefault="00356E2E" w:rsidP="0077573B">
      <w:pPr>
        <w:pStyle w:val="1stLevel"/>
      </w:pPr>
      <w:r>
        <w:t>In this Practice Note to make “a written application” means</w:t>
      </w:r>
      <w:r w:rsidR="004E5EAE">
        <w:t xml:space="preserve"> to make an application pursuant to UCPR Part 18 or</w:t>
      </w:r>
      <w:r>
        <w:t xml:space="preserve"> to make a request in writing addressed to the Industrial Registrar sent to </w:t>
      </w:r>
      <w:hyperlink r:id="rId16" w:history="1">
        <w:r w:rsidR="00D23911" w:rsidRPr="0061773F">
          <w:rPr>
            <w:rStyle w:val="Hyperlink"/>
          </w:rPr>
          <w:t>IRC.Registry@courts.nsw.gov.au</w:t>
        </w:r>
      </w:hyperlink>
      <w:r w:rsidR="00D23911">
        <w:t xml:space="preserve"> </w:t>
      </w:r>
      <w:r>
        <w:t>or by post.</w:t>
      </w:r>
    </w:p>
    <w:p w14:paraId="4179F6C4" w14:textId="2DB1271B" w:rsidR="00C72414" w:rsidRDefault="00356E2E" w:rsidP="0077573B">
      <w:pPr>
        <w:pStyle w:val="1stLevel"/>
      </w:pPr>
      <w:r>
        <w:lastRenderedPageBreak/>
        <w:t>A written application can only be made after a party has informed the other party of the application and sought their agreement</w:t>
      </w:r>
      <w:r w:rsidR="009C0084">
        <w:t xml:space="preserve"> to the request in the application</w:t>
      </w:r>
      <w:r>
        <w:t>.</w:t>
      </w:r>
    </w:p>
    <w:p w14:paraId="3EA0CD64" w14:textId="3044C8C1" w:rsidR="00C72414" w:rsidRDefault="00356E2E" w:rsidP="00CB5182">
      <w:pPr>
        <w:pStyle w:val="1stLevel"/>
      </w:pPr>
      <w:r>
        <w:t xml:space="preserve">A </w:t>
      </w:r>
      <w:r w:rsidRPr="00CB5182">
        <w:t>written</w:t>
      </w:r>
      <w:r>
        <w:t xml:space="preserve"> application must:</w:t>
      </w:r>
    </w:p>
    <w:p w14:paraId="72CFD22E" w14:textId="6C6B44E5" w:rsidR="00C72414" w:rsidRPr="002D0109" w:rsidRDefault="00356E2E" w:rsidP="002D0109">
      <w:pPr>
        <w:pStyle w:val="2ndLevel"/>
      </w:pPr>
      <w:r w:rsidRPr="002D0109">
        <w:t>identify the matter number;</w:t>
      </w:r>
    </w:p>
    <w:p w14:paraId="25B031AD" w14:textId="09BCBF1F" w:rsidR="00C72414" w:rsidRPr="002D0109" w:rsidRDefault="00356E2E" w:rsidP="002D0109">
      <w:pPr>
        <w:pStyle w:val="2ndLevel"/>
      </w:pPr>
      <w:r w:rsidRPr="002D0109">
        <w:t>set out in succinct terms what is requested;</w:t>
      </w:r>
    </w:p>
    <w:p w14:paraId="732AD013" w14:textId="0330EE09" w:rsidR="00C72414" w:rsidRPr="002D0109" w:rsidRDefault="00356E2E" w:rsidP="002D0109">
      <w:pPr>
        <w:pStyle w:val="2ndLevel"/>
      </w:pPr>
      <w:r w:rsidRPr="002D0109">
        <w:t>provide short reasons; and</w:t>
      </w:r>
    </w:p>
    <w:p w14:paraId="4000C24E" w14:textId="35C8669C" w:rsidR="00C72414" w:rsidRPr="002D0109" w:rsidRDefault="00356E2E" w:rsidP="002D0109">
      <w:pPr>
        <w:pStyle w:val="2ndLevel"/>
      </w:pPr>
      <w:r w:rsidRPr="002D0109">
        <w:t>state the other party’s view of the application.</w:t>
      </w:r>
    </w:p>
    <w:p w14:paraId="69C6C913" w14:textId="6415341F" w:rsidR="00103171" w:rsidRDefault="00356E2E" w:rsidP="0077573B">
      <w:pPr>
        <w:pStyle w:val="1stLevel"/>
      </w:pPr>
      <w:r>
        <w:t>All written communications to the Industrial Registrar must be copied to the other party at the time they are sent.</w:t>
      </w:r>
    </w:p>
    <w:p w14:paraId="6A6A57BF" w14:textId="1135CF49" w:rsidR="00356E2E" w:rsidRDefault="00356E2E" w:rsidP="0077573B">
      <w:pPr>
        <w:pStyle w:val="1stLevel"/>
      </w:pPr>
      <w:r>
        <w:t xml:space="preserve">A written application that does not comply with these requirements </w:t>
      </w:r>
      <w:r w:rsidR="00AE0A6F">
        <w:t>will ordinarily</w:t>
      </w:r>
      <w:r>
        <w:t xml:space="preserve"> be rejected and required to be resubmitted.</w:t>
      </w:r>
    </w:p>
    <w:p w14:paraId="5414C5CE" w14:textId="11277AEE" w:rsidR="00B74C6F" w:rsidRPr="00933B94" w:rsidRDefault="00520218" w:rsidP="0077573B">
      <w:pPr>
        <w:pStyle w:val="1stLevel"/>
      </w:pPr>
      <w:r w:rsidRPr="00A2705B">
        <w:rPr>
          <w:color w:val="212121"/>
        </w:rPr>
        <w:t>Some procedural applications need to be supported by evidence and require a formal determination</w:t>
      </w:r>
      <w:r w:rsidR="009613CF" w:rsidRPr="00A2705B">
        <w:rPr>
          <w:color w:val="212121"/>
        </w:rPr>
        <w:t xml:space="preserve">. </w:t>
      </w:r>
      <w:r w:rsidR="00933B94">
        <w:rPr>
          <w:color w:val="212121"/>
        </w:rPr>
        <w:t>Where that is the case</w:t>
      </w:r>
      <w:r w:rsidR="005B30D8">
        <w:rPr>
          <w:color w:val="212121"/>
        </w:rPr>
        <w:t>,</w:t>
      </w:r>
      <w:r w:rsidR="00933B94">
        <w:rPr>
          <w:color w:val="212121"/>
        </w:rPr>
        <w:t xml:space="preserve"> the</w:t>
      </w:r>
      <w:r w:rsidRPr="00A2705B">
        <w:rPr>
          <w:color w:val="212121"/>
        </w:rPr>
        <w:t xml:space="preserve"> Commission will make </w:t>
      </w:r>
      <w:r w:rsidR="00A53BFF" w:rsidRPr="00A2705B">
        <w:rPr>
          <w:color w:val="212121"/>
        </w:rPr>
        <w:t>d</w:t>
      </w:r>
      <w:r w:rsidRPr="00A2705B">
        <w:rPr>
          <w:color w:val="212121"/>
        </w:rPr>
        <w:t>irections for the application to be heard and determined.</w:t>
      </w:r>
      <w:r w:rsidR="00A53BFF" w:rsidRPr="00A2705B">
        <w:rPr>
          <w:color w:val="212121"/>
        </w:rPr>
        <w:t xml:space="preserve"> </w:t>
      </w:r>
      <w:r w:rsidR="003725B9">
        <w:t xml:space="preserve">That </w:t>
      </w:r>
      <w:r w:rsidR="00A53BFF" w:rsidRPr="00933B94">
        <w:t>can include</w:t>
      </w:r>
      <w:r w:rsidR="00B74C6F" w:rsidRPr="00933B94">
        <w:t xml:space="preserve"> requiring the applicant to file a notice of motion with a supporting affidavit</w:t>
      </w:r>
      <w:r w:rsidR="003725B9">
        <w:t xml:space="preserve"> where that was not done</w:t>
      </w:r>
      <w:r w:rsidR="00B74C6F" w:rsidRPr="00933B94">
        <w:t>.</w:t>
      </w:r>
    </w:p>
    <w:p w14:paraId="66698DDF" w14:textId="22CBA949" w:rsidR="0062662F" w:rsidRPr="00E7660A" w:rsidRDefault="00E01532" w:rsidP="0077573B">
      <w:pPr>
        <w:pStyle w:val="Heading2"/>
      </w:pPr>
      <w:r>
        <w:t>Allocation</w:t>
      </w:r>
      <w:r>
        <w:rPr>
          <w:spacing w:val="-7"/>
        </w:rPr>
        <w:t xml:space="preserve"> </w:t>
      </w:r>
      <w:r>
        <w:t>of</w:t>
      </w:r>
      <w:r>
        <w:rPr>
          <w:spacing w:val="-2"/>
        </w:rPr>
        <w:t xml:space="preserve"> </w:t>
      </w:r>
      <w:r w:rsidR="00610060">
        <w:t>l</w:t>
      </w:r>
      <w:r>
        <w:t>isting</w:t>
      </w:r>
      <w:r>
        <w:rPr>
          <w:spacing w:val="-6"/>
        </w:rPr>
        <w:t xml:space="preserve"> </w:t>
      </w:r>
      <w:r w:rsidR="00610060">
        <w:rPr>
          <w:spacing w:val="-4"/>
        </w:rPr>
        <w:t>d</w:t>
      </w:r>
      <w:r>
        <w:rPr>
          <w:spacing w:val="-4"/>
        </w:rPr>
        <w:t>ate</w:t>
      </w:r>
      <w:r w:rsidR="003921F7">
        <w:rPr>
          <w:spacing w:val="-4"/>
        </w:rPr>
        <w:t xml:space="preserve"> for Conciliation</w:t>
      </w:r>
    </w:p>
    <w:p w14:paraId="66698DE0" w14:textId="0D7B236B" w:rsidR="0062662F" w:rsidRDefault="00DD179B" w:rsidP="0077573B">
      <w:pPr>
        <w:pStyle w:val="1stLevel"/>
      </w:pPr>
      <w:r>
        <w:t>A</w:t>
      </w:r>
      <w:r w:rsidR="00E01532">
        <w:t>n</w:t>
      </w:r>
      <w:r w:rsidR="00E01532">
        <w:rPr>
          <w:spacing w:val="-2"/>
        </w:rPr>
        <w:t xml:space="preserve"> </w:t>
      </w:r>
      <w:r w:rsidR="006438E7">
        <w:rPr>
          <w:spacing w:val="-2"/>
        </w:rPr>
        <w:t xml:space="preserve">unfair dismissal </w:t>
      </w:r>
      <w:r w:rsidR="00E01532">
        <w:t>application</w:t>
      </w:r>
      <w:r w:rsidR="00E01532">
        <w:rPr>
          <w:spacing w:val="-2"/>
        </w:rPr>
        <w:t xml:space="preserve"> </w:t>
      </w:r>
      <w:r w:rsidR="00E01532">
        <w:t>will be listed for conciliation b</w:t>
      </w:r>
      <w:r w:rsidR="00D801EF">
        <w:t>efore</w:t>
      </w:r>
      <w:r w:rsidR="00E01532">
        <w:t xml:space="preserve"> a</w:t>
      </w:r>
      <w:r w:rsidR="00DE40E6">
        <w:t xml:space="preserve"> </w:t>
      </w:r>
      <w:r w:rsidR="000B71A5">
        <w:t>member of the Commission</w:t>
      </w:r>
      <w:r w:rsidR="00AD6A36" w:rsidRPr="00AD6A36">
        <w:t xml:space="preserve"> within </w:t>
      </w:r>
      <w:r w:rsidR="003C137F">
        <w:t>14</w:t>
      </w:r>
      <w:r w:rsidR="00AD6A36" w:rsidRPr="00AD6A36">
        <w:t xml:space="preserve"> days</w:t>
      </w:r>
      <w:r w:rsidR="006E6C21">
        <w:t xml:space="preserve"> after the application is filed</w:t>
      </w:r>
      <w:r w:rsidR="00AD6A36" w:rsidRPr="00AD6A36">
        <w:t>.</w:t>
      </w:r>
    </w:p>
    <w:p w14:paraId="2B7826E1" w14:textId="6DAA6A3A" w:rsidR="00873C9F" w:rsidRDefault="00313FE7" w:rsidP="0077573B">
      <w:pPr>
        <w:pStyle w:val="1stLevel"/>
      </w:pPr>
      <w:r>
        <w:t>A request</w:t>
      </w:r>
      <w:r w:rsidR="00924421">
        <w:t xml:space="preserve"> </w:t>
      </w:r>
      <w:r w:rsidR="00873C9F">
        <w:t>to delay or change the date or time</w:t>
      </w:r>
      <w:r w:rsidR="002171F4">
        <w:t xml:space="preserve"> </w:t>
      </w:r>
      <w:r w:rsidR="009728A9">
        <w:t xml:space="preserve">set for </w:t>
      </w:r>
      <w:r w:rsidR="002171F4">
        <w:t>the conciliation</w:t>
      </w:r>
      <w:r w:rsidR="00D12299">
        <w:t xml:space="preserve"> requires a written application and</w:t>
      </w:r>
      <w:r w:rsidR="00873C9F">
        <w:t xml:space="preserve"> </w:t>
      </w:r>
      <w:r w:rsidR="002171F4">
        <w:t>will be</w:t>
      </w:r>
      <w:r w:rsidR="00873C9F">
        <w:t xml:space="preserve"> </w:t>
      </w:r>
      <w:r w:rsidR="002171F4">
        <w:t>granted only</w:t>
      </w:r>
      <w:r w:rsidR="00873C9F">
        <w:t xml:space="preserve"> </w:t>
      </w:r>
      <w:r w:rsidR="003910E4">
        <w:t>on clear and compelling grounds</w:t>
      </w:r>
      <w:r w:rsidR="00873C9F">
        <w:t>.</w:t>
      </w:r>
      <w:r w:rsidR="0098700F">
        <w:t xml:space="preserve"> </w:t>
      </w:r>
      <w:r w:rsidR="002020EC">
        <w:t xml:space="preserve"> </w:t>
      </w:r>
      <w:r w:rsidR="001737AC">
        <w:t>The c</w:t>
      </w:r>
      <w:r w:rsidR="0098700F">
        <w:t xml:space="preserve">onsent of the </w:t>
      </w:r>
      <w:r w:rsidR="001737AC">
        <w:t xml:space="preserve">other </w:t>
      </w:r>
      <w:r w:rsidR="004D749E">
        <w:t>party</w:t>
      </w:r>
      <w:r w:rsidR="00DE4E47">
        <w:t xml:space="preserve"> to the adjournment </w:t>
      </w:r>
      <w:r w:rsidR="0098700F">
        <w:t xml:space="preserve">will be a factor taken into account in the determination of such </w:t>
      </w:r>
      <w:r w:rsidR="00DE4E47">
        <w:t xml:space="preserve">an </w:t>
      </w:r>
      <w:r w:rsidR="0098700F">
        <w:t>application</w:t>
      </w:r>
      <w:r w:rsidR="004D749E">
        <w:t xml:space="preserve"> but is not determinative</w:t>
      </w:r>
      <w:r w:rsidR="0098700F">
        <w:t>.</w:t>
      </w:r>
    </w:p>
    <w:p w14:paraId="258B67C1" w14:textId="3D1DE652" w:rsidR="001D1269" w:rsidRPr="00E7660A" w:rsidRDefault="001D1269" w:rsidP="0077573B">
      <w:pPr>
        <w:pStyle w:val="Heading2"/>
      </w:pPr>
      <w:r w:rsidRPr="00E7660A">
        <w:t xml:space="preserve">Listing </w:t>
      </w:r>
      <w:r w:rsidR="00610060">
        <w:t>l</w:t>
      </w:r>
      <w:r w:rsidRPr="00E7660A">
        <w:t>ocation</w:t>
      </w:r>
      <w:r w:rsidR="00712ADE">
        <w:t xml:space="preserve"> and AVL requests</w:t>
      </w:r>
    </w:p>
    <w:p w14:paraId="2D225D20" w14:textId="223173A8" w:rsidR="0097107B" w:rsidRDefault="0097107B" w:rsidP="0077573B">
      <w:pPr>
        <w:pStyle w:val="1stLevel"/>
      </w:pPr>
      <w:r>
        <w:t>The parties will be sent a notice of listing with the time and location of the conciliation.</w:t>
      </w:r>
    </w:p>
    <w:p w14:paraId="60942F01" w14:textId="648D96A5" w:rsidR="00014BF7" w:rsidRDefault="00DE4E47" w:rsidP="0077573B">
      <w:pPr>
        <w:pStyle w:val="1stLevel"/>
      </w:pPr>
      <w:r>
        <w:t>The conciliation of an u</w:t>
      </w:r>
      <w:r w:rsidR="004052BD">
        <w:t xml:space="preserve">nfair dismissal </w:t>
      </w:r>
      <w:r>
        <w:t xml:space="preserve">application is </w:t>
      </w:r>
      <w:r w:rsidR="008A4C25">
        <w:t>ordinarily</w:t>
      </w:r>
      <w:r w:rsidR="004052BD">
        <w:t xml:space="preserve"> listed </w:t>
      </w:r>
      <w:r w:rsidR="00BC1697">
        <w:t xml:space="preserve">before </w:t>
      </w:r>
      <w:r w:rsidR="009C0628">
        <w:t>the Commission</w:t>
      </w:r>
      <w:r>
        <w:t xml:space="preserve"> </w:t>
      </w:r>
      <w:r w:rsidR="009C0628">
        <w:t xml:space="preserve">at </w:t>
      </w:r>
      <w:r>
        <w:t>L</w:t>
      </w:r>
      <w:r w:rsidR="009C0628">
        <w:t xml:space="preserve">evel 10, </w:t>
      </w:r>
      <w:r w:rsidR="00CA4003">
        <w:t>10</w:t>
      </w:r>
      <w:r w:rsidR="004052BD">
        <w:t xml:space="preserve"> Smith St</w:t>
      </w:r>
      <w:r w:rsidR="00E641BD">
        <w:t>reet</w:t>
      </w:r>
      <w:r w:rsidR="004052BD">
        <w:t xml:space="preserve">, Parramatta. </w:t>
      </w:r>
      <w:r w:rsidR="00E641BD">
        <w:t xml:space="preserve"> </w:t>
      </w:r>
      <w:r w:rsidR="009C0628">
        <w:t xml:space="preserve">Where the parties are located </w:t>
      </w:r>
      <w:r w:rsidR="00CA4003">
        <w:t>in the</w:t>
      </w:r>
      <w:r w:rsidR="009C0628">
        <w:t xml:space="preserve"> Newcastle</w:t>
      </w:r>
      <w:r w:rsidR="00CA4003">
        <w:t xml:space="preserve"> region</w:t>
      </w:r>
      <w:r w:rsidR="009C0628">
        <w:t xml:space="preserve"> </w:t>
      </w:r>
      <w:r w:rsidR="00CA4003">
        <w:t>a</w:t>
      </w:r>
      <w:r w:rsidR="009C0628">
        <w:t xml:space="preserve"> conciliation </w:t>
      </w:r>
      <w:r w:rsidR="00AE1850">
        <w:t>proceeding may be listed before the Commission in Newcastle</w:t>
      </w:r>
      <w:r w:rsidR="005218A9">
        <w:t xml:space="preserve"> </w:t>
      </w:r>
      <w:r w:rsidR="00FB4547">
        <w:t xml:space="preserve">in the Local Court building </w:t>
      </w:r>
      <w:r w:rsidR="005218A9">
        <w:t>at 343 Hunter Street, Newcastle</w:t>
      </w:r>
      <w:r w:rsidR="00BE4EFC">
        <w:t xml:space="preserve"> (usually in Court 1.1 or 1.2)</w:t>
      </w:r>
      <w:r w:rsidR="00AE1850">
        <w:t xml:space="preserve">. </w:t>
      </w:r>
      <w:r w:rsidR="00E641BD">
        <w:t xml:space="preserve"> </w:t>
      </w:r>
      <w:r w:rsidR="00BC1697">
        <w:t xml:space="preserve">A conciliation </w:t>
      </w:r>
      <w:r w:rsidR="008E57DF">
        <w:t xml:space="preserve">may also be listed </w:t>
      </w:r>
      <w:r w:rsidR="00201E5F">
        <w:t xml:space="preserve">before </w:t>
      </w:r>
      <w:r w:rsidR="008E57DF">
        <w:t>the Commission at 47 Bridge Street, Sydney.</w:t>
      </w:r>
      <w:r w:rsidR="00F83876">
        <w:t xml:space="preserve">  </w:t>
      </w:r>
    </w:p>
    <w:p w14:paraId="67AB381A" w14:textId="15ADD8A5" w:rsidR="001755EC" w:rsidRDefault="00D901D8" w:rsidP="0077573B">
      <w:pPr>
        <w:pStyle w:val="1stLevel"/>
      </w:pPr>
      <w:r>
        <w:t>The Commission prefers to have conciliations listed in person</w:t>
      </w:r>
      <w:r w:rsidR="00F83876">
        <w:t xml:space="preserve">, however where </w:t>
      </w:r>
      <w:r w:rsidR="006A3BD0">
        <w:t>one or more part</w:t>
      </w:r>
      <w:r w:rsidR="00EF3A4C">
        <w:t xml:space="preserve">ies are </w:t>
      </w:r>
      <w:r w:rsidR="00F83876">
        <w:t xml:space="preserve">located in a regional </w:t>
      </w:r>
      <w:r w:rsidR="006A3BD0">
        <w:t xml:space="preserve">or remote </w:t>
      </w:r>
      <w:r w:rsidR="00F83876">
        <w:t xml:space="preserve">area </w:t>
      </w:r>
      <w:r w:rsidR="008D138A">
        <w:t xml:space="preserve">a </w:t>
      </w:r>
      <w:r w:rsidR="00A74213">
        <w:t xml:space="preserve">conciliation </w:t>
      </w:r>
      <w:r w:rsidR="00F83876">
        <w:t xml:space="preserve">may be listed </w:t>
      </w:r>
      <w:r w:rsidR="00014BF7">
        <w:t xml:space="preserve">to occur </w:t>
      </w:r>
      <w:r w:rsidR="00F83876">
        <w:t>via audio/</w:t>
      </w:r>
      <w:r w:rsidR="00F754AB">
        <w:t>visual</w:t>
      </w:r>
      <w:r w:rsidR="00F83876">
        <w:t xml:space="preserve"> link (</w:t>
      </w:r>
      <w:r w:rsidR="00F83876" w:rsidRPr="002D0109">
        <w:rPr>
          <w:b/>
          <w:bCs/>
        </w:rPr>
        <w:t>AVL</w:t>
      </w:r>
      <w:r w:rsidR="00F83876">
        <w:t>).</w:t>
      </w:r>
    </w:p>
    <w:p w14:paraId="17B05898" w14:textId="23292959" w:rsidR="00B46C5C" w:rsidRDefault="00FF30E9" w:rsidP="0055203F">
      <w:pPr>
        <w:pStyle w:val="1stLevel"/>
      </w:pPr>
      <w:r>
        <w:t>A</w:t>
      </w:r>
      <w:r w:rsidR="006641E7">
        <w:t xml:space="preserve"> written</w:t>
      </w:r>
      <w:r w:rsidR="00E11096">
        <w:t xml:space="preserve"> application</w:t>
      </w:r>
      <w:r>
        <w:t xml:space="preserve"> </w:t>
      </w:r>
      <w:r w:rsidR="00887B34">
        <w:t xml:space="preserve">may </w:t>
      </w:r>
      <w:r>
        <w:t>be made</w:t>
      </w:r>
      <w:r w:rsidR="003703B5">
        <w:t xml:space="preserve"> for</w:t>
      </w:r>
      <w:r w:rsidR="002C378B">
        <w:t xml:space="preserve"> the conciliation to be listed </w:t>
      </w:r>
      <w:r w:rsidR="004F77A5">
        <w:t xml:space="preserve">via </w:t>
      </w:r>
      <w:r w:rsidR="004D123C">
        <w:t>AVL</w:t>
      </w:r>
      <w:r w:rsidR="002C5A62">
        <w:t xml:space="preserve">. </w:t>
      </w:r>
      <w:r w:rsidR="003703B5">
        <w:t>Such an application</w:t>
      </w:r>
      <w:r w:rsidR="004572E2">
        <w:t xml:space="preserve"> </w:t>
      </w:r>
      <w:r w:rsidR="00821D9D">
        <w:t>is</w:t>
      </w:r>
      <w:r w:rsidR="004572E2">
        <w:t xml:space="preserve"> to be </w:t>
      </w:r>
      <w:r w:rsidR="003703B5">
        <w:t>made</w:t>
      </w:r>
      <w:r w:rsidR="004572E2">
        <w:t xml:space="preserve"> </w:t>
      </w:r>
      <w:r w:rsidR="00BC1F1C">
        <w:t xml:space="preserve">by the applicant </w:t>
      </w:r>
      <w:r w:rsidR="004572E2">
        <w:t xml:space="preserve">at the time the </w:t>
      </w:r>
      <w:r w:rsidR="00D95045">
        <w:t xml:space="preserve">unfair dismissal </w:t>
      </w:r>
      <w:r w:rsidR="004572E2">
        <w:t xml:space="preserve">application is filed </w:t>
      </w:r>
      <w:r w:rsidR="00BC1F1C">
        <w:t>and by a respondent</w:t>
      </w:r>
      <w:r w:rsidR="004572E2">
        <w:t xml:space="preserve"> as soon as practicable.</w:t>
      </w:r>
    </w:p>
    <w:p w14:paraId="66698DE1" w14:textId="514269A2" w:rsidR="0062662F" w:rsidRDefault="00E01532" w:rsidP="0077573B">
      <w:pPr>
        <w:pStyle w:val="Heading2"/>
        <w:rPr>
          <w:sz w:val="20"/>
        </w:rPr>
      </w:pPr>
      <w:r>
        <w:lastRenderedPageBreak/>
        <w:t>Conciliation</w:t>
      </w:r>
    </w:p>
    <w:p w14:paraId="66698DE4" w14:textId="428040BE" w:rsidR="0062662F" w:rsidRDefault="00E01532" w:rsidP="0077573B">
      <w:pPr>
        <w:pStyle w:val="1stLevel"/>
      </w:pPr>
      <w:r>
        <w:t xml:space="preserve">Parties, legal practitioners, industrial agents and others who appear before the Commission should do all they can to facilitate the </w:t>
      </w:r>
      <w:r w:rsidR="00483A96">
        <w:t>just</w:t>
      </w:r>
      <w:r w:rsidR="00F87941">
        <w:t>,</w:t>
      </w:r>
      <w:r w:rsidR="00483A96">
        <w:t xml:space="preserve"> </w:t>
      </w:r>
      <w:r w:rsidR="00F87941">
        <w:t>q</w:t>
      </w:r>
      <w:r w:rsidR="00483A96">
        <w:t>uick and cheap resolution</w:t>
      </w:r>
      <w:r>
        <w:t xml:space="preserve"> of</w:t>
      </w:r>
      <w:r>
        <w:rPr>
          <w:spacing w:val="40"/>
        </w:rPr>
        <w:t xml:space="preserve"> </w:t>
      </w:r>
      <w:r>
        <w:t>matters before the Commission.</w:t>
      </w:r>
    </w:p>
    <w:p w14:paraId="66698DE7" w14:textId="52AB7BD6" w:rsidR="0062662F" w:rsidRDefault="004A7DAE" w:rsidP="0077573B">
      <w:pPr>
        <w:pStyle w:val="1stLevel"/>
      </w:pPr>
      <w:r>
        <w:t>Applica</w:t>
      </w:r>
      <w:r w:rsidR="005A1F69">
        <w:t>nts are to attend the conciliation w</w:t>
      </w:r>
      <w:r w:rsidR="00BE0555">
        <w:t>hether or not they are represented</w:t>
      </w:r>
      <w:r w:rsidR="00990667">
        <w:t>.</w:t>
      </w:r>
      <w:r w:rsidR="00E01532">
        <w:t xml:space="preserve"> </w:t>
      </w:r>
      <w:r w:rsidR="00990667">
        <w:t>R</w:t>
      </w:r>
      <w:r w:rsidR="00E01532">
        <w:t>espondents,</w:t>
      </w:r>
      <w:r w:rsidR="00E01532">
        <w:rPr>
          <w:spacing w:val="-1"/>
        </w:rPr>
        <w:t xml:space="preserve"> </w:t>
      </w:r>
      <w:r w:rsidR="00E01532">
        <w:t>including</w:t>
      </w:r>
      <w:r w:rsidR="00E01532">
        <w:rPr>
          <w:spacing w:val="-3"/>
        </w:rPr>
        <w:t xml:space="preserve"> </w:t>
      </w:r>
      <w:r w:rsidR="00E01532">
        <w:t>those who</w:t>
      </w:r>
      <w:r w:rsidR="00E01532">
        <w:rPr>
          <w:spacing w:val="-3"/>
        </w:rPr>
        <w:t xml:space="preserve"> </w:t>
      </w:r>
      <w:r w:rsidR="00E01532">
        <w:t>are</w:t>
      </w:r>
      <w:r w:rsidR="00E01532">
        <w:rPr>
          <w:spacing w:val="-3"/>
        </w:rPr>
        <w:t xml:space="preserve"> </w:t>
      </w:r>
      <w:r w:rsidR="00E01532">
        <w:t>legally represented,</w:t>
      </w:r>
      <w:r w:rsidR="00E01532">
        <w:rPr>
          <w:spacing w:val="-2"/>
        </w:rPr>
        <w:t xml:space="preserve"> </w:t>
      </w:r>
      <w:r w:rsidR="00E01532">
        <w:t>must</w:t>
      </w:r>
      <w:r w:rsidR="00E01532">
        <w:rPr>
          <w:spacing w:val="-1"/>
        </w:rPr>
        <w:t xml:space="preserve"> </w:t>
      </w:r>
      <w:r w:rsidR="00E01532">
        <w:t>ensure</w:t>
      </w:r>
      <w:r w:rsidR="00E01532">
        <w:rPr>
          <w:spacing w:val="-5"/>
        </w:rPr>
        <w:t xml:space="preserve"> </w:t>
      </w:r>
      <w:r w:rsidR="00E01532">
        <w:t>that</w:t>
      </w:r>
      <w:r w:rsidR="00E01532">
        <w:rPr>
          <w:spacing w:val="-1"/>
        </w:rPr>
        <w:t xml:space="preserve"> </w:t>
      </w:r>
      <w:r w:rsidR="00E01532">
        <w:t>there</w:t>
      </w:r>
      <w:r w:rsidR="00E01532">
        <w:rPr>
          <w:spacing w:val="-3"/>
        </w:rPr>
        <w:t xml:space="preserve"> </w:t>
      </w:r>
      <w:r w:rsidR="00E01532">
        <w:t>is a person in attendance at the conciliation with the power to make decisions to enable the resolution of the matter.</w:t>
      </w:r>
    </w:p>
    <w:p w14:paraId="4A01230E" w14:textId="7CB2DC0A" w:rsidR="00206362" w:rsidRDefault="00206362" w:rsidP="0077573B">
      <w:pPr>
        <w:pStyle w:val="1stLevel"/>
      </w:pPr>
      <w:r w:rsidRPr="00206362">
        <w:rPr>
          <w:lang w:val="en-US"/>
        </w:rPr>
        <w:t>The Commission expects that the parties or their representatives will make contact with the opposing party prior to the conciliation to attempt to narrow the issues in dispute and to explore the basis on which the matter might be resolved.</w:t>
      </w:r>
    </w:p>
    <w:p w14:paraId="66698DE8" w14:textId="2B467B9E" w:rsidR="0062662F" w:rsidRDefault="00094632" w:rsidP="0077573B">
      <w:pPr>
        <w:pStyle w:val="1stLevel"/>
      </w:pPr>
      <w:r>
        <w:t>At</w:t>
      </w:r>
      <w:r w:rsidR="00866455">
        <w:t xml:space="preserve"> the conciliation p</w:t>
      </w:r>
      <w:r w:rsidR="00E01532">
        <w:t>arties</w:t>
      </w:r>
      <w:r w:rsidR="00E01532">
        <w:rPr>
          <w:spacing w:val="-5"/>
        </w:rPr>
        <w:t xml:space="preserve"> </w:t>
      </w:r>
      <w:r w:rsidR="00E01532">
        <w:t>and</w:t>
      </w:r>
      <w:r w:rsidR="00E01532">
        <w:rPr>
          <w:spacing w:val="-7"/>
        </w:rPr>
        <w:t xml:space="preserve"> </w:t>
      </w:r>
      <w:r w:rsidR="00E01532">
        <w:t>their</w:t>
      </w:r>
      <w:r w:rsidR="00E01532">
        <w:rPr>
          <w:spacing w:val="-6"/>
        </w:rPr>
        <w:t xml:space="preserve"> </w:t>
      </w:r>
      <w:r w:rsidR="00E01532">
        <w:t>representatives</w:t>
      </w:r>
      <w:r w:rsidR="00E01532">
        <w:rPr>
          <w:spacing w:val="-6"/>
        </w:rPr>
        <w:t xml:space="preserve"> </w:t>
      </w:r>
      <w:r w:rsidR="00E827E4">
        <w:rPr>
          <w:spacing w:val="-2"/>
        </w:rPr>
        <w:t xml:space="preserve">will be expected </w:t>
      </w:r>
      <w:r w:rsidR="00E2243C">
        <w:rPr>
          <w:spacing w:val="-2"/>
        </w:rPr>
        <w:t>to</w:t>
      </w:r>
      <w:r w:rsidR="00E01532">
        <w:rPr>
          <w:spacing w:val="-2"/>
        </w:rPr>
        <w:t>:</w:t>
      </w:r>
    </w:p>
    <w:p w14:paraId="66698DEB" w14:textId="6B481831" w:rsidR="0062662F" w:rsidRDefault="00E01532" w:rsidP="002D0109">
      <w:pPr>
        <w:pStyle w:val="2ndLevel"/>
      </w:pPr>
      <w:r>
        <w:t>identify</w:t>
      </w:r>
      <w:r>
        <w:rPr>
          <w:spacing w:val="-5"/>
        </w:rPr>
        <w:t xml:space="preserve"> </w:t>
      </w:r>
      <w:r>
        <w:t>the</w:t>
      </w:r>
      <w:r>
        <w:rPr>
          <w:spacing w:val="-4"/>
        </w:rPr>
        <w:t xml:space="preserve"> </w:t>
      </w:r>
      <w:r>
        <w:t>real</w:t>
      </w:r>
      <w:r>
        <w:rPr>
          <w:spacing w:val="-3"/>
        </w:rPr>
        <w:t xml:space="preserve"> </w:t>
      </w:r>
      <w:r>
        <w:t>issues</w:t>
      </w:r>
      <w:r>
        <w:rPr>
          <w:spacing w:val="-4"/>
        </w:rPr>
        <w:t xml:space="preserve"> </w:t>
      </w:r>
      <w:r>
        <w:t>in</w:t>
      </w:r>
      <w:r>
        <w:rPr>
          <w:spacing w:val="-3"/>
        </w:rPr>
        <w:t xml:space="preserve"> </w:t>
      </w:r>
      <w:r>
        <w:t>dispute</w:t>
      </w:r>
      <w:r>
        <w:rPr>
          <w:spacing w:val="-2"/>
        </w:rPr>
        <w:t>;</w:t>
      </w:r>
    </w:p>
    <w:p w14:paraId="66698DEC" w14:textId="34E2E122" w:rsidR="0062662F" w:rsidRDefault="00094632" w:rsidP="002D0109">
      <w:pPr>
        <w:pStyle w:val="2ndLevel"/>
      </w:pPr>
      <w:r>
        <w:t>express the basis on</w:t>
      </w:r>
      <w:r w:rsidR="00E01532">
        <w:t xml:space="preserve"> which they are willing to resolve the matter;</w:t>
      </w:r>
      <w:r w:rsidR="00990667">
        <w:t xml:space="preserve"> and</w:t>
      </w:r>
    </w:p>
    <w:p w14:paraId="66698DEE" w14:textId="5650C3CE" w:rsidR="0062662F" w:rsidRDefault="00E01532" w:rsidP="002D0109">
      <w:pPr>
        <w:pStyle w:val="2ndLevel"/>
      </w:pPr>
      <w:r>
        <w:t xml:space="preserve">use their best </w:t>
      </w:r>
      <w:r w:rsidR="00DC216E">
        <w:t xml:space="preserve">efforts </w:t>
      </w:r>
      <w:r>
        <w:t>to resolve the issues in dispute.</w:t>
      </w:r>
    </w:p>
    <w:p w14:paraId="66698DF0" w14:textId="24EB1609" w:rsidR="0062662F" w:rsidRDefault="00E01532" w:rsidP="0077573B">
      <w:pPr>
        <w:pStyle w:val="1stLevel"/>
      </w:pPr>
      <w:r>
        <w:t xml:space="preserve">Ordinarily there </w:t>
      </w:r>
      <w:r w:rsidR="00B61EA4">
        <w:t>is</w:t>
      </w:r>
      <w:r>
        <w:t xml:space="preserve"> only one conciliation</w:t>
      </w:r>
      <w:r w:rsidR="00290E6B">
        <w:t xml:space="preserve">. </w:t>
      </w:r>
      <w:r w:rsidR="00E20E9E">
        <w:t xml:space="preserve"> </w:t>
      </w:r>
      <w:r w:rsidR="00290E6B">
        <w:t xml:space="preserve">A </w:t>
      </w:r>
      <w:r>
        <w:t>Commission</w:t>
      </w:r>
      <w:r w:rsidR="00EF6A0B">
        <w:t xml:space="preserve"> member</w:t>
      </w:r>
      <w:r>
        <w:t xml:space="preserve"> may </w:t>
      </w:r>
      <w:r w:rsidR="00290E6B">
        <w:t xml:space="preserve">list </w:t>
      </w:r>
      <w:r>
        <w:t>further conciliations at their discretion.</w:t>
      </w:r>
    </w:p>
    <w:p w14:paraId="66698DF2" w14:textId="020BC84A" w:rsidR="0062662F" w:rsidRDefault="00E01532" w:rsidP="0077573B">
      <w:pPr>
        <w:pStyle w:val="1stLevel"/>
      </w:pPr>
      <w:r>
        <w:t xml:space="preserve">If an applicant fails to appear at a conciliation and has not provided a clear and compelling reason for </w:t>
      </w:r>
      <w:r w:rsidR="00961AE1">
        <w:t xml:space="preserve">their </w:t>
      </w:r>
      <w:r>
        <w:t xml:space="preserve">non-attendance, this may result in the matter being </w:t>
      </w:r>
      <w:r>
        <w:rPr>
          <w:spacing w:val="-2"/>
        </w:rPr>
        <w:t>dismissed.</w:t>
      </w:r>
    </w:p>
    <w:p w14:paraId="66698DF4" w14:textId="4C8CA4C4" w:rsidR="0062662F" w:rsidRDefault="00E01532" w:rsidP="0077573B">
      <w:pPr>
        <w:pStyle w:val="Heading2"/>
      </w:pPr>
      <w:r>
        <w:t>Preliminary</w:t>
      </w:r>
      <w:r>
        <w:rPr>
          <w:spacing w:val="-8"/>
        </w:rPr>
        <w:t xml:space="preserve"> </w:t>
      </w:r>
      <w:r w:rsidR="00610060">
        <w:rPr>
          <w:spacing w:val="-2"/>
        </w:rPr>
        <w:t>i</w:t>
      </w:r>
      <w:r>
        <w:rPr>
          <w:spacing w:val="-2"/>
        </w:rPr>
        <w:t>ssues</w:t>
      </w:r>
    </w:p>
    <w:p w14:paraId="71988164" w14:textId="7CEC4722" w:rsidR="00B024FD" w:rsidRPr="007C52C9" w:rsidRDefault="007C52C9" w:rsidP="00747249">
      <w:pPr>
        <w:pStyle w:val="1stLevel"/>
        <w:ind w:left="851" w:hanging="720"/>
      </w:pPr>
      <w:r w:rsidRPr="00747249">
        <w:t xml:space="preserve">A preliminary issue is a threshold question that </w:t>
      </w:r>
      <w:r w:rsidR="00B413AE">
        <w:t>a party asserts that the Commission should determine</w:t>
      </w:r>
      <w:r w:rsidR="00F70D58">
        <w:t xml:space="preserve"> </w:t>
      </w:r>
      <w:r w:rsidRPr="00747249">
        <w:t xml:space="preserve">before </w:t>
      </w:r>
      <w:r w:rsidR="007B7F52">
        <w:t>the</w:t>
      </w:r>
      <w:r w:rsidR="007B7F52" w:rsidRPr="00747249">
        <w:t xml:space="preserve"> </w:t>
      </w:r>
      <w:r w:rsidRPr="00747249">
        <w:t xml:space="preserve">substantive merits of the matter can be considered. </w:t>
      </w:r>
      <w:r w:rsidR="005372C6">
        <w:t>They include</w:t>
      </w:r>
      <w:r w:rsidRPr="00747249">
        <w:t xml:space="preserve"> issues such as whether the Commission has jurisdiction, whether an applicant has standing to bring the matter, whether a party should be joined or removed, whether an application is out of time, or whether statutory preconditions have been met. A preliminary issue may be raised by a party or identified by the Commission.</w:t>
      </w:r>
    </w:p>
    <w:p w14:paraId="6BD288A0" w14:textId="30A5C26A" w:rsidR="00C50F91" w:rsidRDefault="002C5A62">
      <w:pPr>
        <w:pStyle w:val="1stLevel"/>
      </w:pPr>
      <w:r>
        <w:t xml:space="preserve">A </w:t>
      </w:r>
      <w:r w:rsidR="00C50F91">
        <w:t xml:space="preserve">respondent in their response, or any party in their written application, may indicate that they do not object to conciliation taking place prior to the hearing of </w:t>
      </w:r>
      <w:r w:rsidR="00C8089C">
        <w:t xml:space="preserve">a </w:t>
      </w:r>
      <w:r w:rsidR="00C50F91">
        <w:t>preliminary issue.</w:t>
      </w:r>
    </w:p>
    <w:p w14:paraId="5BD787DF" w14:textId="78BCB813" w:rsidR="008C2949" w:rsidRDefault="008C2949" w:rsidP="008C2949">
      <w:pPr>
        <w:pStyle w:val="1stLevel"/>
      </w:pPr>
      <w:r>
        <w:t xml:space="preserve">In deciding whether a preliminary issue will be determined </w:t>
      </w:r>
      <w:r w:rsidR="00B65516">
        <w:t>prior to</w:t>
      </w:r>
      <w:r>
        <w:t xml:space="preserve"> conciliation, the Commission member will consider the overriding objective of the just, quick and cheap resolution of the real issues in dispute and the interests of justice.  </w:t>
      </w:r>
    </w:p>
    <w:p w14:paraId="66698DF9" w14:textId="0D2C7DC5" w:rsidR="0062662F" w:rsidRDefault="00A36153" w:rsidP="00CA5CD0">
      <w:pPr>
        <w:pStyle w:val="1stLevel"/>
      </w:pPr>
      <w:r>
        <w:t xml:space="preserve">Upon deciding that a preliminary issue needs to be determined the Commission will set a date </w:t>
      </w:r>
      <w:r w:rsidR="00D21FBB">
        <w:t>to hear that question</w:t>
      </w:r>
      <w:r>
        <w:t xml:space="preserve"> and issue directions</w:t>
      </w:r>
      <w:r w:rsidR="00CA5CD0">
        <w:t xml:space="preserve">.  </w:t>
      </w:r>
      <w:r w:rsidR="004F214F">
        <w:t xml:space="preserve">The Commission </w:t>
      </w:r>
      <w:r w:rsidR="0067037B">
        <w:t>can</w:t>
      </w:r>
      <w:r w:rsidR="00CA5CD0">
        <w:t>, however,</w:t>
      </w:r>
      <w:r w:rsidR="0067037B">
        <w:t xml:space="preserve"> determine that </w:t>
      </w:r>
      <w:r w:rsidR="00CA5CD0">
        <w:t>a</w:t>
      </w:r>
      <w:r w:rsidR="0067037B">
        <w:t xml:space="preserve"> preliminary question be determined </w:t>
      </w:r>
      <w:r w:rsidR="008C6B01">
        <w:t>at the same time as the substantive issues in the matter</w:t>
      </w:r>
      <w:r w:rsidR="00E01532">
        <w:t>.</w:t>
      </w:r>
    </w:p>
    <w:p w14:paraId="2E32F321" w14:textId="22861C53" w:rsidR="00DD6951" w:rsidRDefault="00DD6951">
      <w:pPr>
        <w:pStyle w:val="Heading2"/>
      </w:pPr>
      <w:r>
        <w:lastRenderedPageBreak/>
        <w:t>Application</w:t>
      </w:r>
      <w:r w:rsidR="007C52C9">
        <w:t>s</w:t>
      </w:r>
      <w:r>
        <w:t xml:space="preserve"> filed out of time</w:t>
      </w:r>
    </w:p>
    <w:p w14:paraId="314963A7" w14:textId="63EC2E17" w:rsidR="006B4644" w:rsidRDefault="00C571C3" w:rsidP="004E2F33">
      <w:pPr>
        <w:pStyle w:val="1stLevel"/>
      </w:pPr>
      <w:r>
        <w:t>An unfair dismissal application must be made not later than 21 days after the dismissal of the employee.</w:t>
      </w:r>
      <w:r w:rsidR="004E2F33">
        <w:t xml:space="preserve"> However</w:t>
      </w:r>
      <w:r w:rsidR="00517E7F">
        <w:t>,</w:t>
      </w:r>
      <w:r w:rsidR="004E2F33">
        <w:t xml:space="preserve"> the Commission has a discretion to </w:t>
      </w:r>
      <w:r w:rsidR="006B4644">
        <w:t>accept an application out of time</w:t>
      </w:r>
      <w:r w:rsidR="005F2A44">
        <w:t xml:space="preserve"> having regard to the circumstances set out in s</w:t>
      </w:r>
      <w:r w:rsidR="002D0109">
        <w:t> </w:t>
      </w:r>
      <w:r w:rsidR="005F2A44">
        <w:t>85(3) of the Act.</w:t>
      </w:r>
      <w:r w:rsidR="007E08FC">
        <w:t xml:space="preserve">  </w:t>
      </w:r>
    </w:p>
    <w:p w14:paraId="255B0CCF" w14:textId="3E98A83E" w:rsidR="0050160B" w:rsidRDefault="0050160B" w:rsidP="0050160B">
      <w:pPr>
        <w:pStyle w:val="1stLevel"/>
      </w:pPr>
      <w:r>
        <w:rPr>
          <w:color w:val="212121"/>
        </w:rPr>
        <w:t>The</w:t>
      </w:r>
      <w:r w:rsidRPr="00600B9B">
        <w:rPr>
          <w:color w:val="212121"/>
        </w:rPr>
        <w:t xml:space="preserve"> Commission will make directions for the application </w:t>
      </w:r>
      <w:r>
        <w:t>to accept the unfair dismissal application out of time</w:t>
      </w:r>
      <w:r w:rsidRPr="00600B9B">
        <w:rPr>
          <w:color w:val="212121"/>
        </w:rPr>
        <w:t xml:space="preserve"> </w:t>
      </w:r>
      <w:r>
        <w:rPr>
          <w:color w:val="212121"/>
        </w:rPr>
        <w:t>to</w:t>
      </w:r>
      <w:r w:rsidRPr="00600B9B">
        <w:rPr>
          <w:color w:val="212121"/>
        </w:rPr>
        <w:t xml:space="preserve"> be heard and determined</w:t>
      </w:r>
      <w:r w:rsidR="008215ED">
        <w:rPr>
          <w:color w:val="212121"/>
        </w:rPr>
        <w:t xml:space="preserve"> </w:t>
      </w:r>
      <w:r w:rsidR="00392080">
        <w:rPr>
          <w:color w:val="212121"/>
        </w:rPr>
        <w:t>and may determine it be heard at</w:t>
      </w:r>
      <w:r w:rsidR="008215ED">
        <w:rPr>
          <w:color w:val="212121"/>
        </w:rPr>
        <w:t xml:space="preserve"> the same time as the substantive issues.</w:t>
      </w:r>
    </w:p>
    <w:p w14:paraId="682A176E" w14:textId="3C15D8CF" w:rsidR="00A3056C" w:rsidRDefault="005E0EBF" w:rsidP="00DD6951">
      <w:pPr>
        <w:pStyle w:val="1stLevel"/>
      </w:pPr>
      <w:r>
        <w:t xml:space="preserve">In determining whether to </w:t>
      </w:r>
      <w:r w:rsidR="00157928">
        <w:t xml:space="preserve">conduct a conciliation before or after determining </w:t>
      </w:r>
      <w:r w:rsidR="00B5610A">
        <w:t>whether to</w:t>
      </w:r>
      <w:r w:rsidR="00737025">
        <w:t xml:space="preserve"> accept an application out of time</w:t>
      </w:r>
      <w:r w:rsidR="00157928">
        <w:t xml:space="preserve"> the Commission will have regard to the position of the</w:t>
      </w:r>
      <w:r w:rsidR="007E08FC">
        <w:t xml:space="preserve"> </w:t>
      </w:r>
      <w:r w:rsidR="00A3056C">
        <w:t>respondent</w:t>
      </w:r>
      <w:r w:rsidR="00157928">
        <w:t>. The respondent</w:t>
      </w:r>
      <w:r w:rsidR="00A3056C">
        <w:t xml:space="preserve"> should indicate in </w:t>
      </w:r>
      <w:r w:rsidR="0056182F">
        <w:t>its</w:t>
      </w:r>
      <w:r w:rsidR="00A3056C">
        <w:t xml:space="preserve"> response:</w:t>
      </w:r>
    </w:p>
    <w:p w14:paraId="74814402" w14:textId="3AA4210F" w:rsidR="00BB25A0" w:rsidRDefault="00157928" w:rsidP="002D0109">
      <w:pPr>
        <w:pStyle w:val="2ndLevel"/>
      </w:pPr>
      <w:r>
        <w:t>w</w:t>
      </w:r>
      <w:r w:rsidR="00A3056C">
        <w:t>hether or not they consent to the Commission accepting the application out of time;</w:t>
      </w:r>
      <w:r>
        <w:t xml:space="preserve"> and</w:t>
      </w:r>
    </w:p>
    <w:p w14:paraId="4527BE2E" w14:textId="017B155D" w:rsidR="00A3056C" w:rsidRDefault="00157928" w:rsidP="002D0109">
      <w:pPr>
        <w:pStyle w:val="2ndLevel"/>
      </w:pPr>
      <w:r>
        <w:t>if</w:t>
      </w:r>
      <w:r w:rsidR="00A3056C">
        <w:t xml:space="preserve"> they do not consent, </w:t>
      </w:r>
      <w:r w:rsidR="007456D9">
        <w:t xml:space="preserve">whether the </w:t>
      </w:r>
      <w:r w:rsidR="008215ED">
        <w:t xml:space="preserve">out of time </w:t>
      </w:r>
      <w:r w:rsidR="007456D9">
        <w:t xml:space="preserve">application should be determined </w:t>
      </w:r>
      <w:r w:rsidR="00214BDF">
        <w:t>before or after conciliation.</w:t>
      </w:r>
    </w:p>
    <w:p w14:paraId="66698DFB" w14:textId="62030612" w:rsidR="0062662F" w:rsidRDefault="00E01532" w:rsidP="0077573B">
      <w:pPr>
        <w:pStyle w:val="Heading2"/>
      </w:pPr>
      <w:r>
        <w:t>Directions</w:t>
      </w:r>
      <w:r>
        <w:rPr>
          <w:spacing w:val="-10"/>
        </w:rPr>
        <w:t xml:space="preserve"> </w:t>
      </w:r>
      <w:r>
        <w:t>for</w:t>
      </w:r>
      <w:r>
        <w:rPr>
          <w:spacing w:val="-6"/>
        </w:rPr>
        <w:t xml:space="preserve"> </w:t>
      </w:r>
      <w:r w:rsidR="00610060">
        <w:t>a</w:t>
      </w:r>
      <w:r>
        <w:t>rbitration</w:t>
      </w:r>
      <w:r>
        <w:rPr>
          <w:spacing w:val="-5"/>
        </w:rPr>
        <w:t xml:space="preserve"> </w:t>
      </w:r>
    </w:p>
    <w:p w14:paraId="66698DFC" w14:textId="10609EA2" w:rsidR="0062662F" w:rsidRDefault="00DE5F9C" w:rsidP="0077573B">
      <w:pPr>
        <w:pStyle w:val="1stLevel"/>
      </w:pPr>
      <w:r>
        <w:t>At the conclusion of an unsuccessful</w:t>
      </w:r>
      <w:r w:rsidR="00E01532">
        <w:t xml:space="preserve"> conciliation the Commission</w:t>
      </w:r>
      <w:r w:rsidR="00A02495">
        <w:t xml:space="preserve"> </w:t>
      </w:r>
      <w:r w:rsidR="00E01532">
        <w:t>will</w:t>
      </w:r>
      <w:r w:rsidR="007A1AA2">
        <w:t xml:space="preserve"> ordinarily</w:t>
      </w:r>
      <w:r w:rsidR="00F649E2">
        <w:t xml:space="preserve"> set a date for </w:t>
      </w:r>
      <w:r w:rsidR="0057215B">
        <w:t xml:space="preserve">the arbitration </w:t>
      </w:r>
      <w:r w:rsidR="00F649E2">
        <w:t>hearing and</w:t>
      </w:r>
      <w:r w:rsidR="00E01532">
        <w:t xml:space="preserve"> make directions </w:t>
      </w:r>
      <w:r w:rsidR="009076F5">
        <w:t>for evidence and submissions to be filed</w:t>
      </w:r>
      <w:r w:rsidR="00E01532">
        <w:t xml:space="preserve">. </w:t>
      </w:r>
      <w:r w:rsidR="00F649E2">
        <w:t>The</w:t>
      </w:r>
      <w:r w:rsidR="00E01532">
        <w:t xml:space="preserve"> </w:t>
      </w:r>
      <w:r w:rsidR="00594FE6">
        <w:t>Commission</w:t>
      </w:r>
      <w:r w:rsidR="004B5E2C">
        <w:t xml:space="preserve"> will make the</w:t>
      </w:r>
      <w:r w:rsidR="00594FE6">
        <w:t xml:space="preserve"> </w:t>
      </w:r>
      <w:r w:rsidR="00E01532">
        <w:t>“Usual Directions”</w:t>
      </w:r>
      <w:r w:rsidR="004B5E2C">
        <w:t>, which</w:t>
      </w:r>
      <w:r w:rsidR="00E01532">
        <w:t xml:space="preserve"> can be found on the Commission’s website</w:t>
      </w:r>
      <w:r w:rsidR="004B5E2C">
        <w:t>, unless there is good reason to make different directions</w:t>
      </w:r>
      <w:r w:rsidR="00E01532">
        <w:t>.</w:t>
      </w:r>
      <w:r w:rsidR="00DA6BF1">
        <w:t xml:space="preserve"> Parties should attend the conciliation with </w:t>
      </w:r>
      <w:r w:rsidR="00876754">
        <w:t xml:space="preserve">their </w:t>
      </w:r>
      <w:r w:rsidR="008215ED">
        <w:t>preferred</w:t>
      </w:r>
      <w:r w:rsidR="00876754">
        <w:t xml:space="preserve"> dates for an arbitration hearing.</w:t>
      </w:r>
    </w:p>
    <w:p w14:paraId="66698DFF" w14:textId="2610E9DA" w:rsidR="0062662F" w:rsidRDefault="007A1AA2">
      <w:pPr>
        <w:pStyle w:val="1stLevel"/>
      </w:pPr>
      <w:r>
        <w:t>If a party</w:t>
      </w:r>
      <w:r w:rsidR="004B757C">
        <w:t xml:space="preserve"> </w:t>
      </w:r>
      <w:r w:rsidR="00CB5128">
        <w:t>wishes</w:t>
      </w:r>
      <w:r w:rsidR="004B757C">
        <w:t xml:space="preserve"> to exercise </w:t>
      </w:r>
      <w:r w:rsidR="00AE4B76">
        <w:t xml:space="preserve">its </w:t>
      </w:r>
      <w:r w:rsidR="004B757C">
        <w:t>right under s</w:t>
      </w:r>
      <w:r w:rsidR="00786083">
        <w:t> </w:t>
      </w:r>
      <w:r w:rsidR="004B757C">
        <w:t xml:space="preserve">173 of the Act to </w:t>
      </w:r>
      <w:r w:rsidR="00ED25EA">
        <w:t>have a different member of the Commission conduct the</w:t>
      </w:r>
      <w:r w:rsidR="0057215B">
        <w:t xml:space="preserve"> arbitration</w:t>
      </w:r>
      <w:r w:rsidR="00ED25EA">
        <w:t xml:space="preserve"> hearing, such an application should be made at</w:t>
      </w:r>
      <w:r w:rsidR="00F55290">
        <w:t xml:space="preserve"> or immediately after</w:t>
      </w:r>
      <w:r w:rsidR="00ED25EA">
        <w:t xml:space="preserve"> the conclusion</w:t>
      </w:r>
      <w:r w:rsidR="00CB5128">
        <w:t xml:space="preserve"> of the conciliation.</w:t>
      </w:r>
      <w:r w:rsidR="009128A2">
        <w:t xml:space="preserve"> A </w:t>
      </w:r>
      <w:r w:rsidR="00464753">
        <w:t xml:space="preserve">failure to do so </w:t>
      </w:r>
      <w:r w:rsidR="00795ABB">
        <w:t xml:space="preserve">does </w:t>
      </w:r>
      <w:r w:rsidR="00464753">
        <w:t>not prevent a later application being granted.</w:t>
      </w:r>
      <w:r w:rsidR="005B2F60">
        <w:t xml:space="preserve"> </w:t>
      </w:r>
      <w:r w:rsidR="00151AB1">
        <w:t>Ordinarily, t</w:t>
      </w:r>
      <w:r w:rsidR="00257239">
        <w:t xml:space="preserve">he </w:t>
      </w:r>
      <w:r w:rsidR="007C400F">
        <w:t xml:space="preserve">directions </w:t>
      </w:r>
      <w:r w:rsidR="00257239">
        <w:t xml:space="preserve">made at the conclusion of an unsuccessful conciliation </w:t>
      </w:r>
      <w:r w:rsidR="00FC10F0">
        <w:t xml:space="preserve">will not be vacated if the matter is </w:t>
      </w:r>
      <w:r w:rsidR="00950601">
        <w:t>allocated to a different member of the Commission pursuant to s 173 of the Act.</w:t>
      </w:r>
    </w:p>
    <w:p w14:paraId="2188B0E5" w14:textId="77777777" w:rsidR="00B92B2B" w:rsidRPr="00465C23" w:rsidRDefault="00B92B2B" w:rsidP="00B92B2B">
      <w:pPr>
        <w:pStyle w:val="Heading2"/>
      </w:pPr>
      <w:r>
        <w:t>Further conciliation</w:t>
      </w:r>
    </w:p>
    <w:p w14:paraId="13F6F5DF" w14:textId="77777777" w:rsidR="00B92B2B" w:rsidRDefault="00B92B2B" w:rsidP="00747249">
      <w:pPr>
        <w:pStyle w:val="1stLevel"/>
      </w:pPr>
      <w:r>
        <w:t xml:space="preserve">A request for further conciliation can be made at any time by written application. If the request is made during arbitration it can be made orally. </w:t>
      </w:r>
    </w:p>
    <w:p w14:paraId="04432ABB" w14:textId="7FB21B72" w:rsidR="00B92B2B" w:rsidRDefault="00B92B2B" w:rsidP="00B92B2B">
      <w:pPr>
        <w:pStyle w:val="1stLevel"/>
      </w:pPr>
      <w:r>
        <w:t>Usually, the Commission will only accede to the request for a further conciliation if the parties consent to the application.</w:t>
      </w:r>
    </w:p>
    <w:p w14:paraId="1FCAFCAF" w14:textId="77777777" w:rsidR="00B92B2B" w:rsidRDefault="00B92B2B" w:rsidP="00B92B2B">
      <w:pPr>
        <w:pStyle w:val="1stLevel"/>
      </w:pPr>
      <w:r>
        <w:t>Further conciliation will usually be conducted by the Commission member who presided in respect of the first conciliation.</w:t>
      </w:r>
    </w:p>
    <w:p w14:paraId="494C9A9E" w14:textId="6ED3DCD2" w:rsidR="00B92B2B" w:rsidRDefault="00B92B2B" w:rsidP="00B92B2B">
      <w:pPr>
        <w:pStyle w:val="1stLevel"/>
      </w:pPr>
      <w:r>
        <w:t>The listing of a further conciliation does not excuse the parties from complying with directions made in the proceedings unless an order is made by the Commission to that effect.</w:t>
      </w:r>
    </w:p>
    <w:p w14:paraId="66698E06" w14:textId="7D634EBC" w:rsidR="0062662F" w:rsidRDefault="008128E7" w:rsidP="0077573B">
      <w:pPr>
        <w:pStyle w:val="Heading2"/>
        <w:rPr>
          <w:sz w:val="20"/>
        </w:rPr>
      </w:pPr>
      <w:r>
        <w:t>Request</w:t>
      </w:r>
      <w:r w:rsidR="00533861">
        <w:t xml:space="preserve"> to vary directions</w:t>
      </w:r>
    </w:p>
    <w:p w14:paraId="7079673D" w14:textId="33497FED" w:rsidR="001A27E1" w:rsidRDefault="009B17D7" w:rsidP="0077573B">
      <w:pPr>
        <w:pStyle w:val="1stLevel"/>
      </w:pPr>
      <w:r>
        <w:t xml:space="preserve">Parties </w:t>
      </w:r>
      <w:r w:rsidR="00B63251">
        <w:rPr>
          <w:bCs/>
        </w:rPr>
        <w:t>are required to</w:t>
      </w:r>
      <w:r w:rsidR="00B63251">
        <w:rPr>
          <w:b/>
        </w:rPr>
        <w:t xml:space="preserve"> </w:t>
      </w:r>
      <w:r w:rsidR="00E01532">
        <w:t xml:space="preserve">comply with any directions made by the Commission. </w:t>
      </w:r>
    </w:p>
    <w:p w14:paraId="66698E07" w14:textId="698B0350" w:rsidR="0062662F" w:rsidRPr="00E7660A" w:rsidRDefault="003D1D19" w:rsidP="0077573B">
      <w:pPr>
        <w:pStyle w:val="1stLevel"/>
        <w:rPr>
          <w:spacing w:val="-1"/>
        </w:rPr>
      </w:pPr>
      <w:r>
        <w:lastRenderedPageBreak/>
        <w:t xml:space="preserve">A </w:t>
      </w:r>
      <w:r w:rsidR="00B0211E">
        <w:t>request to</w:t>
      </w:r>
      <w:r w:rsidR="00E01532">
        <w:t xml:space="preserve"> vary </w:t>
      </w:r>
      <w:r w:rsidR="003F3955">
        <w:t xml:space="preserve">a </w:t>
      </w:r>
      <w:r w:rsidR="00E01532">
        <w:t>direction</w:t>
      </w:r>
      <w:r w:rsidR="00E62399">
        <w:t xml:space="preserve"> must</w:t>
      </w:r>
      <w:r w:rsidR="00B0211E">
        <w:t xml:space="preserve"> be made by </w:t>
      </w:r>
      <w:r w:rsidR="00AE4B76">
        <w:t xml:space="preserve">a </w:t>
      </w:r>
      <w:r w:rsidR="00B0211E">
        <w:t xml:space="preserve">written application </w:t>
      </w:r>
      <w:r w:rsidR="00165726">
        <w:t>prior</w:t>
      </w:r>
      <w:r w:rsidR="00165726">
        <w:rPr>
          <w:spacing w:val="-3"/>
        </w:rPr>
        <w:t xml:space="preserve"> </w:t>
      </w:r>
      <w:r w:rsidR="00165726">
        <w:t>to</w:t>
      </w:r>
      <w:r w:rsidR="00165726">
        <w:rPr>
          <w:spacing w:val="-4"/>
        </w:rPr>
        <w:t xml:space="preserve"> </w:t>
      </w:r>
      <w:r w:rsidR="00165726">
        <w:t>the</w:t>
      </w:r>
      <w:r w:rsidR="00165726">
        <w:rPr>
          <w:spacing w:val="-2"/>
        </w:rPr>
        <w:t xml:space="preserve"> </w:t>
      </w:r>
      <w:r w:rsidR="00165726">
        <w:t>date</w:t>
      </w:r>
      <w:r w:rsidR="00165726">
        <w:rPr>
          <w:spacing w:val="-4"/>
        </w:rPr>
        <w:t xml:space="preserve"> </w:t>
      </w:r>
      <w:r w:rsidR="00165726">
        <w:t>for compliance</w:t>
      </w:r>
      <w:r w:rsidR="00563791">
        <w:t xml:space="preserve"> and must strictly comply with the requirements for a </w:t>
      </w:r>
      <w:r w:rsidR="004C55A8">
        <w:t>procedural</w:t>
      </w:r>
      <w:r w:rsidR="00563791">
        <w:t xml:space="preserve"> application </w:t>
      </w:r>
      <w:r w:rsidR="004C55A8">
        <w:t xml:space="preserve">at paragraphs </w:t>
      </w:r>
      <w:r w:rsidR="00B758B0">
        <w:t>[</w:t>
      </w:r>
      <w:r w:rsidR="004C55A8">
        <w:t>6]-[</w:t>
      </w:r>
      <w:r w:rsidR="005212CC">
        <w:t>11</w:t>
      </w:r>
      <w:r w:rsidR="004C55A8">
        <w:t>] above</w:t>
      </w:r>
      <w:r w:rsidR="00B0211E">
        <w:t xml:space="preserve">.  It must </w:t>
      </w:r>
      <w:r w:rsidR="004C55A8">
        <w:t xml:space="preserve">also </w:t>
      </w:r>
      <w:r w:rsidR="00BE49D2">
        <w:rPr>
          <w:spacing w:val="-2"/>
        </w:rPr>
        <w:t>address whether</w:t>
      </w:r>
      <w:r w:rsidR="004312B5">
        <w:rPr>
          <w:spacing w:val="-2"/>
        </w:rPr>
        <w:t xml:space="preserve"> the hearing dates </w:t>
      </w:r>
      <w:r w:rsidR="0048018A">
        <w:rPr>
          <w:spacing w:val="-2"/>
        </w:rPr>
        <w:t xml:space="preserve">will be </w:t>
      </w:r>
      <w:r w:rsidR="00BB026E">
        <w:rPr>
          <w:spacing w:val="-2"/>
        </w:rPr>
        <w:t>impacted</w:t>
      </w:r>
      <w:r w:rsidR="004312B5">
        <w:rPr>
          <w:spacing w:val="-2"/>
        </w:rPr>
        <w:t xml:space="preserve"> by the </w:t>
      </w:r>
      <w:r w:rsidR="0048018A">
        <w:rPr>
          <w:spacing w:val="-2"/>
        </w:rPr>
        <w:t>proposed</w:t>
      </w:r>
      <w:r w:rsidR="004312B5">
        <w:rPr>
          <w:spacing w:val="-2"/>
        </w:rPr>
        <w:t xml:space="preserve"> amendment.</w:t>
      </w:r>
      <w:r w:rsidR="0027024A">
        <w:rPr>
          <w:spacing w:val="-2"/>
        </w:rPr>
        <w:t xml:space="preserve">  A contested application to vary a direction </w:t>
      </w:r>
      <w:r w:rsidR="00FA0078">
        <w:rPr>
          <w:spacing w:val="-2"/>
        </w:rPr>
        <w:t>that will impact on hearing dates must be made by notice of motion with supporting evidence.</w:t>
      </w:r>
    </w:p>
    <w:p w14:paraId="66698E08" w14:textId="525CA406" w:rsidR="0062662F" w:rsidRDefault="00BE49D2" w:rsidP="0077573B">
      <w:pPr>
        <w:pStyle w:val="Heading2"/>
        <w:rPr>
          <w:sz w:val="20"/>
        </w:rPr>
      </w:pPr>
      <w:r>
        <w:t>Applications to vary arbitration hearing dates</w:t>
      </w:r>
    </w:p>
    <w:p w14:paraId="64F86825" w14:textId="1B032867" w:rsidR="00933F09" w:rsidRDefault="00AB60A4" w:rsidP="0077573B">
      <w:pPr>
        <w:pStyle w:val="1stLevel"/>
      </w:pPr>
      <w:r>
        <w:t>A</w:t>
      </w:r>
      <w:r w:rsidR="005212CC">
        <w:t xml:space="preserve">n </w:t>
      </w:r>
      <w:r w:rsidR="0057566B">
        <w:t xml:space="preserve">application </w:t>
      </w:r>
      <w:r>
        <w:t>to vary</w:t>
      </w:r>
      <w:r w:rsidR="0057566B">
        <w:t xml:space="preserve"> </w:t>
      </w:r>
      <w:r>
        <w:t>arbitration</w:t>
      </w:r>
      <w:r w:rsidR="00CD0689">
        <w:t xml:space="preserve"> </w:t>
      </w:r>
      <w:r w:rsidR="00822A24">
        <w:t>hearing</w:t>
      </w:r>
      <w:r>
        <w:t xml:space="preserve"> dates</w:t>
      </w:r>
      <w:r w:rsidR="0058671A">
        <w:t xml:space="preserve"> must be made by notice of motion</w:t>
      </w:r>
      <w:r w:rsidR="00933F09">
        <w:t>, supported by evidence</w:t>
      </w:r>
      <w:r w:rsidR="00467531">
        <w:t>,</w:t>
      </w:r>
      <w:r w:rsidR="000D7F3F" w:rsidRPr="000D7F3F">
        <w:t xml:space="preserve"> </w:t>
      </w:r>
      <w:r w:rsidR="000D7F3F">
        <w:t>and must strictly comply with the requirements for a procedural application at paragraphs [6]-[</w:t>
      </w:r>
      <w:r w:rsidR="005212CC">
        <w:t>11</w:t>
      </w:r>
      <w:r w:rsidR="000D7F3F">
        <w:t>] above</w:t>
      </w:r>
      <w:r w:rsidR="00933F09">
        <w:t>.</w:t>
      </w:r>
      <w:r w:rsidR="007E098C">
        <w:t xml:space="preserve"> </w:t>
      </w:r>
      <w:r w:rsidR="00467531">
        <w:t>It will be granted only on clear and compelling grounds.</w:t>
      </w:r>
    </w:p>
    <w:p w14:paraId="66698E0E" w14:textId="3FC5AEB7" w:rsidR="0062662F" w:rsidRDefault="00E01532" w:rsidP="0077573B">
      <w:pPr>
        <w:pStyle w:val="1stLevel"/>
        <w:keepNext/>
      </w:pPr>
      <w:r>
        <w:t>In the event that a party fails to attend the arbitration, the matter may be heard and determined in the absence of that party.</w:t>
      </w:r>
    </w:p>
    <w:p w14:paraId="40630239" w14:textId="77777777" w:rsidR="006152A0" w:rsidRDefault="006152A0" w:rsidP="00CB5182">
      <w:pPr>
        <w:pStyle w:val="Signature"/>
        <w:keepNext/>
      </w:pPr>
    </w:p>
    <w:p w14:paraId="5A42BD0C" w14:textId="77777777" w:rsidR="006152A0" w:rsidRDefault="006152A0" w:rsidP="00CB5182">
      <w:pPr>
        <w:pStyle w:val="Signature"/>
        <w:keepNext/>
      </w:pPr>
    </w:p>
    <w:p w14:paraId="68EA71B8" w14:textId="1DCC70EF" w:rsidR="00BB57C6" w:rsidRPr="00E7660A" w:rsidRDefault="00CB5182" w:rsidP="0077573B">
      <w:pPr>
        <w:pStyle w:val="Signature"/>
        <w:keepNext/>
      </w:pPr>
      <w:r>
        <w:t xml:space="preserve">Justice I </w:t>
      </w:r>
      <w:r w:rsidR="00BB57C6" w:rsidRPr="00E7660A">
        <w:t>Taylor</w:t>
      </w:r>
    </w:p>
    <w:p w14:paraId="039BFF0D" w14:textId="3BF29415" w:rsidR="00BB57C6" w:rsidRPr="00E7660A" w:rsidRDefault="00BB57C6" w:rsidP="0077573B">
      <w:pPr>
        <w:pStyle w:val="Signature"/>
        <w:keepNext/>
      </w:pPr>
      <w:r w:rsidRPr="00E7660A">
        <w:t>President</w:t>
      </w:r>
    </w:p>
    <w:p w14:paraId="66698E11" w14:textId="4FF9771F" w:rsidR="0062662F" w:rsidRDefault="00CF190C" w:rsidP="0077573B">
      <w:pPr>
        <w:pStyle w:val="Signature"/>
        <w:keepNext/>
      </w:pPr>
      <w:r>
        <w:t>14 August 2025</w:t>
      </w:r>
    </w:p>
    <w:sectPr w:rsidR="0062662F" w:rsidSect="00F57589">
      <w:type w:val="continuous"/>
      <w:pgSz w:w="11910" w:h="16840"/>
      <w:pgMar w:top="1440" w:right="1440" w:bottom="15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2822" w14:textId="77777777" w:rsidR="00152EA6" w:rsidRDefault="00152EA6" w:rsidP="00E7660A">
      <w:r>
        <w:separator/>
      </w:r>
    </w:p>
  </w:endnote>
  <w:endnote w:type="continuationSeparator" w:id="0">
    <w:p w14:paraId="55472DB5" w14:textId="77777777" w:rsidR="00152EA6" w:rsidRDefault="00152EA6" w:rsidP="00E7660A">
      <w:r>
        <w:continuationSeparator/>
      </w:r>
    </w:p>
  </w:endnote>
  <w:endnote w:type="continuationNotice" w:id="1">
    <w:p w14:paraId="7C80B9F7" w14:textId="77777777" w:rsidR="00152EA6" w:rsidRDefault="00152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43B3" w14:textId="77777777" w:rsidR="00E92CF3" w:rsidRDefault="00E92CF3" w:rsidP="006152A0">
    <w:pPr>
      <w:rPr>
        <w:rFonts w:eastAsia="Times New Roman"/>
        <w:b/>
        <w:bCs/>
        <w:smallCaps/>
        <w:sz w:val="16"/>
        <w:szCs w:val="16"/>
        <w:shd w:val="clear" w:color="auto" w:fill="FFFFFF"/>
        <w:lang w:eastAsia="en-AU"/>
      </w:rPr>
    </w:pPr>
  </w:p>
  <w:p w14:paraId="5B836670" w14:textId="77777777" w:rsidR="00E92CF3" w:rsidRDefault="00E92CF3" w:rsidP="006152A0">
    <w:pPr>
      <w:rPr>
        <w:rFonts w:eastAsia="Times New Roman"/>
        <w:b/>
        <w:bCs/>
        <w:smallCaps/>
        <w:sz w:val="16"/>
        <w:szCs w:val="16"/>
        <w:shd w:val="clear" w:color="auto" w:fill="FFFFFF"/>
        <w:lang w:eastAsia="en-AU"/>
      </w:rPr>
    </w:pPr>
  </w:p>
  <w:p w14:paraId="1399D1CE" w14:textId="174C0C5F" w:rsidR="006152A0" w:rsidRPr="00031CEA" w:rsidRDefault="006152A0" w:rsidP="006152A0">
    <w:pPr>
      <w:rPr>
        <w:rFonts w:eastAsia="Times New Roman"/>
        <w:b/>
        <w:bCs/>
        <w:smallCaps/>
        <w:sz w:val="16"/>
        <w:szCs w:val="16"/>
        <w:shd w:val="clear" w:color="auto" w:fill="FFFFFF"/>
        <w:lang w:eastAsia="en-AU"/>
      </w:rPr>
    </w:pPr>
    <w:r w:rsidRPr="00031CEA">
      <w:rPr>
        <w:rFonts w:eastAsia="Times New Roman"/>
        <w:b/>
        <w:bCs/>
        <w:smallCaps/>
        <w:sz w:val="16"/>
        <w:szCs w:val="16"/>
        <w:shd w:val="clear" w:color="auto" w:fill="FFFFFF"/>
        <w:lang w:eastAsia="en-AU"/>
      </w:rPr>
      <w:t>Revision history</w:t>
    </w:r>
  </w:p>
  <w:tbl>
    <w:tblPr>
      <w:tblW w:w="5000" w:type="pct"/>
      <w:tblCellMar>
        <w:left w:w="0" w:type="dxa"/>
        <w:right w:w="0" w:type="dxa"/>
      </w:tblCellMar>
      <w:tblLook w:val="04A0" w:firstRow="1" w:lastRow="0" w:firstColumn="1" w:lastColumn="0" w:noHBand="0" w:noVBand="1"/>
    </w:tblPr>
    <w:tblGrid>
      <w:gridCol w:w="4515"/>
      <w:gridCol w:w="4515"/>
    </w:tblGrid>
    <w:tr w:rsidR="006152A0" w:rsidRPr="00C218D1" w14:paraId="49E5A2EA" w14:textId="77777777" w:rsidTr="0077573B">
      <w:tc>
        <w:tcPr>
          <w:tcW w:w="2500" w:type="pct"/>
          <w:tcBorders>
            <w:top w:val="single" w:sz="4" w:space="0" w:color="auto"/>
            <w:bottom w:val="single" w:sz="4" w:space="0" w:color="auto"/>
          </w:tcBorders>
          <w:hideMark/>
        </w:tcPr>
        <w:p w14:paraId="0F129259" w14:textId="54E3CE3D" w:rsidR="006152A0" w:rsidRPr="001140E0" w:rsidRDefault="006152A0" w:rsidP="006152A0">
          <w:pPr>
            <w:rPr>
              <w:rFonts w:eastAsia="Times New Roman"/>
              <w:sz w:val="16"/>
              <w:szCs w:val="16"/>
              <w:lang w:eastAsia="en-AU"/>
            </w:rPr>
          </w:pPr>
          <w:r w:rsidRPr="00C218D1">
            <w:rPr>
              <w:rFonts w:eastAsia="Times New Roman"/>
              <w:sz w:val="16"/>
              <w:szCs w:val="16"/>
              <w:lang w:eastAsia="en-AU"/>
            </w:rPr>
            <w:t>First Issue Date:</w:t>
          </w:r>
          <w:r>
            <w:rPr>
              <w:rFonts w:eastAsia="Times New Roman"/>
              <w:sz w:val="16"/>
              <w:szCs w:val="16"/>
              <w:lang w:eastAsia="en-AU"/>
            </w:rPr>
            <w:t xml:space="preserve"> </w:t>
          </w:r>
          <w:r w:rsidR="00331634">
            <w:rPr>
              <w:rFonts w:eastAsia="Times New Roman"/>
              <w:sz w:val="16"/>
              <w:szCs w:val="16"/>
              <w:lang w:eastAsia="en-AU"/>
            </w:rPr>
            <w:t>9 October 2019</w:t>
          </w:r>
        </w:p>
      </w:tc>
      <w:tc>
        <w:tcPr>
          <w:tcW w:w="2500" w:type="pct"/>
          <w:tcBorders>
            <w:top w:val="single" w:sz="4" w:space="0" w:color="auto"/>
            <w:bottom w:val="single" w:sz="4" w:space="0" w:color="auto"/>
          </w:tcBorders>
          <w:hideMark/>
        </w:tcPr>
        <w:p w14:paraId="568510E2" w14:textId="77777777" w:rsidR="006152A0" w:rsidRPr="00C218D1" w:rsidRDefault="006152A0" w:rsidP="006152A0">
          <w:pPr>
            <w:jc w:val="right"/>
            <w:rPr>
              <w:rFonts w:ascii="Verdana" w:eastAsia="Times New Roman" w:hAnsi="Verdana"/>
              <w:sz w:val="16"/>
              <w:szCs w:val="16"/>
              <w:lang w:eastAsia="en-AU"/>
            </w:rPr>
          </w:pPr>
        </w:p>
      </w:tc>
    </w:tr>
    <w:tr w:rsidR="006152A0" w:rsidRPr="00C218D1" w14:paraId="21A1CFC3" w14:textId="77777777" w:rsidTr="0077573B">
      <w:tc>
        <w:tcPr>
          <w:tcW w:w="2500" w:type="pct"/>
          <w:tcBorders>
            <w:top w:val="single" w:sz="4" w:space="0" w:color="auto"/>
            <w:bottom w:val="single" w:sz="4" w:space="0" w:color="auto"/>
          </w:tcBorders>
        </w:tcPr>
        <w:p w14:paraId="08CACFE9" w14:textId="2F4BE9BF" w:rsidR="006152A0" w:rsidRPr="00C218D1" w:rsidRDefault="004F4B65" w:rsidP="006152A0">
          <w:pPr>
            <w:rPr>
              <w:rFonts w:eastAsia="Times New Roman"/>
              <w:sz w:val="16"/>
              <w:szCs w:val="16"/>
              <w:lang w:eastAsia="en-AU"/>
            </w:rPr>
          </w:pPr>
          <w:r>
            <w:rPr>
              <w:rFonts w:eastAsia="Times New Roman"/>
              <w:sz w:val="16"/>
              <w:szCs w:val="16"/>
              <w:lang w:eastAsia="en-AU"/>
            </w:rPr>
            <w:t xml:space="preserve">Re-issue Date: </w:t>
          </w:r>
          <w:r w:rsidR="00CF190C">
            <w:rPr>
              <w:rFonts w:eastAsia="Times New Roman"/>
              <w:sz w:val="16"/>
              <w:szCs w:val="16"/>
              <w:lang w:eastAsia="en-AU"/>
            </w:rPr>
            <w:t>14 August 2025</w:t>
          </w:r>
        </w:p>
      </w:tc>
      <w:tc>
        <w:tcPr>
          <w:tcW w:w="2500" w:type="pct"/>
          <w:tcBorders>
            <w:top w:val="single" w:sz="4" w:space="0" w:color="auto"/>
            <w:bottom w:val="single" w:sz="4" w:space="0" w:color="auto"/>
          </w:tcBorders>
        </w:tcPr>
        <w:p w14:paraId="6796DCCF" w14:textId="77777777" w:rsidR="006152A0" w:rsidRPr="00C218D1" w:rsidRDefault="006152A0" w:rsidP="006152A0">
          <w:pPr>
            <w:jc w:val="right"/>
            <w:rPr>
              <w:rFonts w:ascii="Verdana" w:eastAsia="Times New Roman" w:hAnsi="Verdana"/>
              <w:sz w:val="16"/>
              <w:szCs w:val="16"/>
              <w:lang w:eastAsia="en-AU"/>
            </w:rPr>
          </w:pPr>
        </w:p>
      </w:tc>
    </w:tr>
  </w:tbl>
  <w:p w14:paraId="6E8DF170" w14:textId="77777777" w:rsidR="006152A0" w:rsidRDefault="006152A0" w:rsidP="0061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B627" w14:textId="77777777" w:rsidR="00152EA6" w:rsidRDefault="00152EA6" w:rsidP="00E7660A">
      <w:r>
        <w:separator/>
      </w:r>
    </w:p>
  </w:footnote>
  <w:footnote w:type="continuationSeparator" w:id="0">
    <w:p w14:paraId="4528890A" w14:textId="77777777" w:rsidR="00152EA6" w:rsidRDefault="00152EA6" w:rsidP="00E7660A">
      <w:r>
        <w:continuationSeparator/>
      </w:r>
    </w:p>
  </w:footnote>
  <w:footnote w:type="continuationNotice" w:id="1">
    <w:p w14:paraId="023051E0" w14:textId="77777777" w:rsidR="00152EA6" w:rsidRDefault="00152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A70" w14:textId="77777777" w:rsidR="00CB5182" w:rsidRPr="00CB5182" w:rsidRDefault="00CB5182" w:rsidP="00CB5182">
    <w:pPr>
      <w:widowControl/>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Industrial Relations Commission of NSW</w:t>
    </w:r>
  </w:p>
  <w:p w14:paraId="5B06C76A" w14:textId="258C9419" w:rsidR="00E7660A" w:rsidRPr="0077573B" w:rsidRDefault="00CB5182" w:rsidP="0077573B">
    <w:pPr>
      <w:widowControl/>
      <w:pBdr>
        <w:bottom w:val="single" w:sz="4" w:space="1" w:color="auto"/>
      </w:pBdr>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 xml:space="preserve">Practice Note </w:t>
    </w:r>
    <w:r w:rsidR="006152A0">
      <w:rPr>
        <w:rFonts w:eastAsia="Calibri"/>
        <w:smallCaps/>
        <w:kern w:val="2"/>
        <w:sz w:val="18"/>
        <w:szCs w:val="18"/>
        <w:lang w:val="en-AU"/>
      </w:rPr>
      <w:t>17A</w:t>
    </w:r>
    <w:r w:rsidRPr="00CB5182">
      <w:rPr>
        <w:rFonts w:eastAsia="Calibri"/>
        <w:smallCaps/>
        <w:kern w:val="2"/>
        <w:sz w:val="18"/>
        <w:szCs w:val="18"/>
        <w:lang w:val="en-AU"/>
      </w:rPr>
      <w:tab/>
    </w:r>
    <w:r w:rsidRPr="00CB5182">
      <w:rPr>
        <w:rFonts w:eastAsia="Calibri"/>
        <w:smallCaps/>
        <w:kern w:val="2"/>
        <w:sz w:val="18"/>
        <w:szCs w:val="18"/>
        <w:lang w:val="en-AU"/>
      </w:rPr>
      <w:tab/>
      <w:t xml:space="preserve">Page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PAGE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2</w:t>
    </w:r>
    <w:r w:rsidRPr="00CB5182">
      <w:rPr>
        <w:rFonts w:eastAsia="Calibri"/>
        <w:b/>
        <w:bCs/>
        <w:smallCaps/>
        <w:kern w:val="2"/>
        <w:sz w:val="18"/>
        <w:szCs w:val="18"/>
        <w:lang w:val="en-AU"/>
      </w:rPr>
      <w:fldChar w:fldCharType="end"/>
    </w:r>
    <w:r w:rsidRPr="00CB5182">
      <w:rPr>
        <w:rFonts w:eastAsia="Calibri"/>
        <w:smallCaps/>
        <w:kern w:val="2"/>
        <w:sz w:val="18"/>
        <w:szCs w:val="18"/>
        <w:lang w:val="en-AU"/>
      </w:rPr>
      <w:t xml:space="preserve"> of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NUMPAGES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3</w:t>
    </w:r>
    <w:r w:rsidRPr="00CB5182">
      <w:rPr>
        <w:rFonts w:eastAsia="Calibri"/>
        <w:b/>
        <w:bCs/>
        <w:smallCaps/>
        <w:kern w:val="2"/>
        <w:sz w:val="18"/>
        <w:szCs w:val="18"/>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4A9C" w14:textId="2FD33F40" w:rsidR="00CB5182" w:rsidRDefault="00CB5182">
    <w:pPr>
      <w:pStyle w:val="Header"/>
    </w:pPr>
    <w:r w:rsidRPr="0077573B">
      <w:rPr>
        <w:rFonts w:eastAsia="Calibri"/>
        <w:noProof/>
        <w:kern w:val="2"/>
        <w:sz w:val="24"/>
        <w:szCs w:val="24"/>
        <w:lang w:val="en-AU"/>
      </w:rPr>
      <w:drawing>
        <wp:anchor distT="0" distB="0" distL="114300" distR="114300" simplePos="0" relativeHeight="251658240" behindDoc="0" locked="0" layoutInCell="1" allowOverlap="1" wp14:anchorId="562E5536" wp14:editId="738FFB2F">
          <wp:simplePos x="0" y="0"/>
          <wp:positionH relativeFrom="margin">
            <wp:align>center</wp:align>
          </wp:positionH>
          <wp:positionV relativeFrom="page">
            <wp:posOffset>277495</wp:posOffset>
          </wp:positionV>
          <wp:extent cx="1576800" cy="1080000"/>
          <wp:effectExtent l="0" t="0" r="4445" b="6350"/>
          <wp:wrapTopAndBottom/>
          <wp:docPr id="1090953862" name="Picture 21" descr="A black and white image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53862" name="Picture 21" descr="A black and white image of a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F16"/>
    <w:multiLevelType w:val="multilevel"/>
    <w:tmpl w:val="7ABC0CE8"/>
    <w:styleLink w:val="CurrentList1"/>
    <w:lvl w:ilvl="0">
      <w:start w:val="1"/>
      <w:numFmt w:val="decimal"/>
      <w:lvlText w:val="%1."/>
      <w:lvlJc w:val="left"/>
      <w:pPr>
        <w:ind w:left="808" w:hanging="708"/>
      </w:pPr>
      <w:rPr>
        <w:rFonts w:hint="default"/>
        <w:b w:val="0"/>
        <w:bCs w:val="0"/>
        <w:spacing w:val="-1"/>
        <w:w w:val="100"/>
        <w:lang w:val="en-US" w:eastAsia="en-US" w:bidi="ar-SA"/>
      </w:rPr>
    </w:lvl>
    <w:lvl w:ilvl="1">
      <w:start w:val="1"/>
      <w:numFmt w:val="lowerLetter"/>
      <w:lvlText w:val="%2."/>
      <w:lvlJc w:val="left"/>
      <w:pPr>
        <w:ind w:left="1070" w:hanging="360"/>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503" w:hanging="471"/>
      </w:pPr>
      <w:rPr>
        <w:rFonts w:hint="default"/>
        <w:lang w:val="en-US" w:eastAsia="en-US" w:bidi="ar-SA"/>
      </w:rPr>
    </w:lvl>
    <w:lvl w:ilvl="4">
      <w:numFmt w:val="bullet"/>
      <w:lvlText w:val="•"/>
      <w:lvlJc w:val="left"/>
      <w:pPr>
        <w:ind w:left="3466" w:hanging="471"/>
      </w:pPr>
      <w:rPr>
        <w:rFonts w:hint="default"/>
        <w:lang w:val="en-US" w:eastAsia="en-US" w:bidi="ar-SA"/>
      </w:rPr>
    </w:lvl>
    <w:lvl w:ilvl="5">
      <w:numFmt w:val="bullet"/>
      <w:lvlText w:val="•"/>
      <w:lvlJc w:val="left"/>
      <w:pPr>
        <w:ind w:left="4429" w:hanging="471"/>
      </w:pPr>
      <w:rPr>
        <w:rFonts w:hint="default"/>
        <w:lang w:val="en-US" w:eastAsia="en-US" w:bidi="ar-SA"/>
      </w:rPr>
    </w:lvl>
    <w:lvl w:ilvl="6">
      <w:numFmt w:val="bullet"/>
      <w:lvlText w:val="•"/>
      <w:lvlJc w:val="left"/>
      <w:pPr>
        <w:ind w:left="5393" w:hanging="471"/>
      </w:pPr>
      <w:rPr>
        <w:rFonts w:hint="default"/>
        <w:lang w:val="en-US" w:eastAsia="en-US" w:bidi="ar-SA"/>
      </w:rPr>
    </w:lvl>
    <w:lvl w:ilvl="7">
      <w:numFmt w:val="bullet"/>
      <w:lvlText w:val="•"/>
      <w:lvlJc w:val="left"/>
      <w:pPr>
        <w:ind w:left="6356" w:hanging="471"/>
      </w:pPr>
      <w:rPr>
        <w:rFonts w:hint="default"/>
        <w:lang w:val="en-US" w:eastAsia="en-US" w:bidi="ar-SA"/>
      </w:rPr>
    </w:lvl>
    <w:lvl w:ilvl="8">
      <w:numFmt w:val="bullet"/>
      <w:lvlText w:val="•"/>
      <w:lvlJc w:val="left"/>
      <w:pPr>
        <w:ind w:left="7319" w:hanging="471"/>
      </w:pPr>
      <w:rPr>
        <w:rFonts w:hint="default"/>
        <w:lang w:val="en-US" w:eastAsia="en-US" w:bidi="ar-SA"/>
      </w:rPr>
    </w:lvl>
  </w:abstractNum>
  <w:abstractNum w:abstractNumId="1" w15:restartNumberingAfterBreak="0">
    <w:nsid w:val="2B731F1B"/>
    <w:multiLevelType w:val="hybridMultilevel"/>
    <w:tmpl w:val="F0626C0A"/>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 w15:restartNumberingAfterBreak="0">
    <w:nsid w:val="353B50A5"/>
    <w:multiLevelType w:val="multilevel"/>
    <w:tmpl w:val="048CE758"/>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 w15:restartNumberingAfterBreak="0">
    <w:nsid w:val="64B4142B"/>
    <w:multiLevelType w:val="multilevel"/>
    <w:tmpl w:val="EA0ED27E"/>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4" w15:restartNumberingAfterBreak="0">
    <w:nsid w:val="7A7070FC"/>
    <w:multiLevelType w:val="hybridMultilevel"/>
    <w:tmpl w:val="BAF4B6CC"/>
    <w:lvl w:ilvl="0" w:tplc="B05C4E10">
      <w:start w:val="1"/>
      <w:numFmt w:val="decimal"/>
      <w:pStyle w:val="1stLevel"/>
      <w:lvlText w:val="%1."/>
      <w:lvlJc w:val="left"/>
      <w:pPr>
        <w:ind w:left="808" w:hanging="708"/>
      </w:pPr>
      <w:rPr>
        <w:rFonts w:hint="default"/>
        <w:b w:val="0"/>
        <w:bCs w:val="0"/>
        <w:spacing w:val="-1"/>
        <w:w w:val="100"/>
        <w:lang w:val="en-US" w:eastAsia="en-US" w:bidi="ar-SA"/>
      </w:rPr>
    </w:lvl>
    <w:lvl w:ilvl="1" w:tplc="60D8B582">
      <w:start w:val="1"/>
      <w:numFmt w:val="lowerLetter"/>
      <w:pStyle w:val="2ndLevel"/>
      <w:lvlText w:val="%2."/>
      <w:lvlJc w:val="left"/>
      <w:pPr>
        <w:ind w:left="1070" w:hanging="360"/>
      </w:pPr>
      <w:rPr>
        <w:rFonts w:ascii="Arial" w:eastAsia="Arial" w:hAnsi="Arial" w:cs="Arial" w:hint="default"/>
        <w:b w:val="0"/>
        <w:bCs w:val="0"/>
        <w:i w:val="0"/>
        <w:iCs w:val="0"/>
        <w:spacing w:val="-1"/>
        <w:w w:val="100"/>
        <w:sz w:val="22"/>
        <w:szCs w:val="22"/>
        <w:lang w:val="en-US" w:eastAsia="en-US" w:bidi="ar-SA"/>
      </w:rPr>
    </w:lvl>
    <w:lvl w:ilvl="2" w:tplc="CFDA704C">
      <w:start w:val="1"/>
      <w:numFmt w:val="lowerRoman"/>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tplc="99724048">
      <w:numFmt w:val="bullet"/>
      <w:lvlText w:val="•"/>
      <w:lvlJc w:val="left"/>
      <w:pPr>
        <w:ind w:left="2503" w:hanging="471"/>
      </w:pPr>
      <w:rPr>
        <w:rFonts w:hint="default"/>
        <w:lang w:val="en-US" w:eastAsia="en-US" w:bidi="ar-SA"/>
      </w:rPr>
    </w:lvl>
    <w:lvl w:ilvl="4" w:tplc="59360684">
      <w:numFmt w:val="bullet"/>
      <w:lvlText w:val="•"/>
      <w:lvlJc w:val="left"/>
      <w:pPr>
        <w:ind w:left="3466" w:hanging="471"/>
      </w:pPr>
      <w:rPr>
        <w:rFonts w:hint="default"/>
        <w:lang w:val="en-US" w:eastAsia="en-US" w:bidi="ar-SA"/>
      </w:rPr>
    </w:lvl>
    <w:lvl w:ilvl="5" w:tplc="5EFA145E">
      <w:numFmt w:val="bullet"/>
      <w:lvlText w:val="•"/>
      <w:lvlJc w:val="left"/>
      <w:pPr>
        <w:ind w:left="4429" w:hanging="471"/>
      </w:pPr>
      <w:rPr>
        <w:rFonts w:hint="default"/>
        <w:lang w:val="en-US" w:eastAsia="en-US" w:bidi="ar-SA"/>
      </w:rPr>
    </w:lvl>
    <w:lvl w:ilvl="6" w:tplc="DB48F6FA">
      <w:numFmt w:val="bullet"/>
      <w:lvlText w:val="•"/>
      <w:lvlJc w:val="left"/>
      <w:pPr>
        <w:ind w:left="5393" w:hanging="471"/>
      </w:pPr>
      <w:rPr>
        <w:rFonts w:hint="default"/>
        <w:lang w:val="en-US" w:eastAsia="en-US" w:bidi="ar-SA"/>
      </w:rPr>
    </w:lvl>
    <w:lvl w:ilvl="7" w:tplc="5D0C313A">
      <w:numFmt w:val="bullet"/>
      <w:lvlText w:val="•"/>
      <w:lvlJc w:val="left"/>
      <w:pPr>
        <w:ind w:left="6356" w:hanging="471"/>
      </w:pPr>
      <w:rPr>
        <w:rFonts w:hint="default"/>
        <w:lang w:val="en-US" w:eastAsia="en-US" w:bidi="ar-SA"/>
      </w:rPr>
    </w:lvl>
    <w:lvl w:ilvl="8" w:tplc="E6E2FAF6">
      <w:numFmt w:val="bullet"/>
      <w:lvlText w:val="•"/>
      <w:lvlJc w:val="left"/>
      <w:pPr>
        <w:ind w:left="7319" w:hanging="471"/>
      </w:pPr>
      <w:rPr>
        <w:rFonts w:hint="default"/>
        <w:lang w:val="en-US" w:eastAsia="en-US" w:bidi="ar-SA"/>
      </w:rPr>
    </w:lvl>
  </w:abstractNum>
  <w:num w:numId="1" w16cid:durableId="1637906676">
    <w:abstractNumId w:val="4"/>
  </w:num>
  <w:num w:numId="2" w16cid:durableId="1827164273">
    <w:abstractNumId w:val="2"/>
  </w:num>
  <w:num w:numId="3" w16cid:durableId="897478715">
    <w:abstractNumId w:val="3"/>
  </w:num>
  <w:num w:numId="4" w16cid:durableId="1932816872">
    <w:abstractNumId w:val="1"/>
  </w:num>
  <w:num w:numId="5" w16cid:durableId="1738746614">
    <w:abstractNumId w:val="3"/>
  </w:num>
  <w:num w:numId="6" w16cid:durableId="759524827">
    <w:abstractNumId w:val="3"/>
  </w:num>
  <w:num w:numId="7" w16cid:durableId="1244878445">
    <w:abstractNumId w:val="3"/>
  </w:num>
  <w:num w:numId="8" w16cid:durableId="1116680395">
    <w:abstractNumId w:val="3"/>
  </w:num>
  <w:num w:numId="9" w16cid:durableId="1312174631">
    <w:abstractNumId w:val="3"/>
  </w:num>
  <w:num w:numId="10" w16cid:durableId="418406076">
    <w:abstractNumId w:val="4"/>
  </w:num>
  <w:num w:numId="11" w16cid:durableId="352659043">
    <w:abstractNumId w:val="4"/>
  </w:num>
  <w:num w:numId="12" w16cid:durableId="1212040526">
    <w:abstractNumId w:val="4"/>
  </w:num>
  <w:num w:numId="13" w16cid:durableId="2053143156">
    <w:abstractNumId w:val="4"/>
  </w:num>
  <w:num w:numId="14" w16cid:durableId="1738435545">
    <w:abstractNumId w:val="4"/>
    <w:lvlOverride w:ilvl="0">
      <w:startOverride w:val="1"/>
    </w:lvlOverride>
  </w:num>
  <w:num w:numId="15" w16cid:durableId="536236039">
    <w:abstractNumId w:val="4"/>
    <w:lvlOverride w:ilvl="0">
      <w:startOverride w:val="1"/>
    </w:lvlOverride>
  </w:num>
  <w:num w:numId="16" w16cid:durableId="133518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2F"/>
    <w:rsid w:val="00007487"/>
    <w:rsid w:val="00014BF7"/>
    <w:rsid w:val="00022D23"/>
    <w:rsid w:val="0002307B"/>
    <w:rsid w:val="00042F07"/>
    <w:rsid w:val="00057EAE"/>
    <w:rsid w:val="0006024A"/>
    <w:rsid w:val="0006570C"/>
    <w:rsid w:val="000706A3"/>
    <w:rsid w:val="00072C58"/>
    <w:rsid w:val="0007500D"/>
    <w:rsid w:val="00094035"/>
    <w:rsid w:val="00094632"/>
    <w:rsid w:val="00095C74"/>
    <w:rsid w:val="000B2790"/>
    <w:rsid w:val="000B6DE8"/>
    <w:rsid w:val="000B71A5"/>
    <w:rsid w:val="000C6DBF"/>
    <w:rsid w:val="000D486A"/>
    <w:rsid w:val="000D56E6"/>
    <w:rsid w:val="000D7F3F"/>
    <w:rsid w:val="000E4596"/>
    <w:rsid w:val="000F0F20"/>
    <w:rsid w:val="000F176C"/>
    <w:rsid w:val="000F2240"/>
    <w:rsid w:val="0010294A"/>
    <w:rsid w:val="00103171"/>
    <w:rsid w:val="00113418"/>
    <w:rsid w:val="00125ADB"/>
    <w:rsid w:val="00146F12"/>
    <w:rsid w:val="0015084B"/>
    <w:rsid w:val="00151AB1"/>
    <w:rsid w:val="00152EA6"/>
    <w:rsid w:val="00157928"/>
    <w:rsid w:val="00165726"/>
    <w:rsid w:val="00165B61"/>
    <w:rsid w:val="001737AC"/>
    <w:rsid w:val="00174274"/>
    <w:rsid w:val="00174820"/>
    <w:rsid w:val="001755EC"/>
    <w:rsid w:val="00183070"/>
    <w:rsid w:val="001A27D6"/>
    <w:rsid w:val="001A27E1"/>
    <w:rsid w:val="001A371A"/>
    <w:rsid w:val="001A49E7"/>
    <w:rsid w:val="001B0154"/>
    <w:rsid w:val="001B4FC3"/>
    <w:rsid w:val="001C08C7"/>
    <w:rsid w:val="001C3913"/>
    <w:rsid w:val="001C394F"/>
    <w:rsid w:val="001D1269"/>
    <w:rsid w:val="001D51BB"/>
    <w:rsid w:val="001E0BBF"/>
    <w:rsid w:val="001F6A8D"/>
    <w:rsid w:val="00201A92"/>
    <w:rsid w:val="00201E5F"/>
    <w:rsid w:val="002020EC"/>
    <w:rsid w:val="00203059"/>
    <w:rsid w:val="00206362"/>
    <w:rsid w:val="00214BDF"/>
    <w:rsid w:val="002171F4"/>
    <w:rsid w:val="00230EC8"/>
    <w:rsid w:val="00230F18"/>
    <w:rsid w:val="0023162E"/>
    <w:rsid w:val="0023521D"/>
    <w:rsid w:val="002352F8"/>
    <w:rsid w:val="00237830"/>
    <w:rsid w:val="00240A87"/>
    <w:rsid w:val="00244DA6"/>
    <w:rsid w:val="00257239"/>
    <w:rsid w:val="00257B86"/>
    <w:rsid w:val="00262B99"/>
    <w:rsid w:val="0027024A"/>
    <w:rsid w:val="00281DE0"/>
    <w:rsid w:val="00282339"/>
    <w:rsid w:val="00287382"/>
    <w:rsid w:val="00290E6B"/>
    <w:rsid w:val="00295D22"/>
    <w:rsid w:val="00296F89"/>
    <w:rsid w:val="002B42E6"/>
    <w:rsid w:val="002C378B"/>
    <w:rsid w:val="002C5A62"/>
    <w:rsid w:val="002D0109"/>
    <w:rsid w:val="002E1686"/>
    <w:rsid w:val="002E5A42"/>
    <w:rsid w:val="002F0F7E"/>
    <w:rsid w:val="002F376E"/>
    <w:rsid w:val="002F5BC4"/>
    <w:rsid w:val="00313FE7"/>
    <w:rsid w:val="003302E9"/>
    <w:rsid w:val="00331634"/>
    <w:rsid w:val="003365BF"/>
    <w:rsid w:val="0035019E"/>
    <w:rsid w:val="0035305D"/>
    <w:rsid w:val="00356E2E"/>
    <w:rsid w:val="00365483"/>
    <w:rsid w:val="003701E2"/>
    <w:rsid w:val="003703B5"/>
    <w:rsid w:val="003725B9"/>
    <w:rsid w:val="00383778"/>
    <w:rsid w:val="003839C4"/>
    <w:rsid w:val="003848DB"/>
    <w:rsid w:val="003849EE"/>
    <w:rsid w:val="003860F5"/>
    <w:rsid w:val="0038625C"/>
    <w:rsid w:val="003910E4"/>
    <w:rsid w:val="00392080"/>
    <w:rsid w:val="003921F7"/>
    <w:rsid w:val="003979C8"/>
    <w:rsid w:val="003A2006"/>
    <w:rsid w:val="003B03E5"/>
    <w:rsid w:val="003C137F"/>
    <w:rsid w:val="003C45AA"/>
    <w:rsid w:val="003C5FC6"/>
    <w:rsid w:val="003D147D"/>
    <w:rsid w:val="003D1D19"/>
    <w:rsid w:val="003E0809"/>
    <w:rsid w:val="003F3955"/>
    <w:rsid w:val="00401ECE"/>
    <w:rsid w:val="004022B2"/>
    <w:rsid w:val="004052BD"/>
    <w:rsid w:val="00406953"/>
    <w:rsid w:val="00411B74"/>
    <w:rsid w:val="00414904"/>
    <w:rsid w:val="00414A07"/>
    <w:rsid w:val="00423B7F"/>
    <w:rsid w:val="00426629"/>
    <w:rsid w:val="0042706F"/>
    <w:rsid w:val="004312B5"/>
    <w:rsid w:val="004503A6"/>
    <w:rsid w:val="00452914"/>
    <w:rsid w:val="004534C6"/>
    <w:rsid w:val="004572E2"/>
    <w:rsid w:val="0046041E"/>
    <w:rsid w:val="00464753"/>
    <w:rsid w:val="00467531"/>
    <w:rsid w:val="0048018A"/>
    <w:rsid w:val="00483A96"/>
    <w:rsid w:val="00485F07"/>
    <w:rsid w:val="00490CF3"/>
    <w:rsid w:val="004A7DAE"/>
    <w:rsid w:val="004B5E2C"/>
    <w:rsid w:val="004B757C"/>
    <w:rsid w:val="004B7861"/>
    <w:rsid w:val="004C49D2"/>
    <w:rsid w:val="004C5276"/>
    <w:rsid w:val="004C55A8"/>
    <w:rsid w:val="004D123C"/>
    <w:rsid w:val="004D749E"/>
    <w:rsid w:val="004E2F33"/>
    <w:rsid w:val="004E5EAE"/>
    <w:rsid w:val="004F214F"/>
    <w:rsid w:val="004F4B65"/>
    <w:rsid w:val="004F77A5"/>
    <w:rsid w:val="0050160B"/>
    <w:rsid w:val="0050664F"/>
    <w:rsid w:val="005123C3"/>
    <w:rsid w:val="005175A0"/>
    <w:rsid w:val="00517E7F"/>
    <w:rsid w:val="00520218"/>
    <w:rsid w:val="005212CC"/>
    <w:rsid w:val="005218A9"/>
    <w:rsid w:val="00526B23"/>
    <w:rsid w:val="00533861"/>
    <w:rsid w:val="005372C6"/>
    <w:rsid w:val="0053754C"/>
    <w:rsid w:val="00537FE7"/>
    <w:rsid w:val="00547754"/>
    <w:rsid w:val="0055203F"/>
    <w:rsid w:val="00557E4D"/>
    <w:rsid w:val="0056182F"/>
    <w:rsid w:val="00563791"/>
    <w:rsid w:val="00567865"/>
    <w:rsid w:val="0057215B"/>
    <w:rsid w:val="0057566B"/>
    <w:rsid w:val="00583C61"/>
    <w:rsid w:val="0058671A"/>
    <w:rsid w:val="00586DB9"/>
    <w:rsid w:val="00594FE6"/>
    <w:rsid w:val="005A1F69"/>
    <w:rsid w:val="005A7004"/>
    <w:rsid w:val="005B0181"/>
    <w:rsid w:val="005B2F60"/>
    <w:rsid w:val="005B30D8"/>
    <w:rsid w:val="005C4820"/>
    <w:rsid w:val="005C6FA5"/>
    <w:rsid w:val="005C71EE"/>
    <w:rsid w:val="005D0D66"/>
    <w:rsid w:val="005D22E8"/>
    <w:rsid w:val="005E0EBF"/>
    <w:rsid w:val="005F2A44"/>
    <w:rsid w:val="005F5373"/>
    <w:rsid w:val="0060547D"/>
    <w:rsid w:val="00610060"/>
    <w:rsid w:val="0061478D"/>
    <w:rsid w:val="006152A0"/>
    <w:rsid w:val="00616FEC"/>
    <w:rsid w:val="00617987"/>
    <w:rsid w:val="0062662F"/>
    <w:rsid w:val="00632B5A"/>
    <w:rsid w:val="006334CB"/>
    <w:rsid w:val="00642D10"/>
    <w:rsid w:val="006438E7"/>
    <w:rsid w:val="006448E1"/>
    <w:rsid w:val="00651A98"/>
    <w:rsid w:val="00652B4F"/>
    <w:rsid w:val="00662D1D"/>
    <w:rsid w:val="006641E7"/>
    <w:rsid w:val="0067037B"/>
    <w:rsid w:val="00677D8C"/>
    <w:rsid w:val="00683E4A"/>
    <w:rsid w:val="00684651"/>
    <w:rsid w:val="0069077D"/>
    <w:rsid w:val="0069375B"/>
    <w:rsid w:val="00694F56"/>
    <w:rsid w:val="006973C3"/>
    <w:rsid w:val="006A3BD0"/>
    <w:rsid w:val="006B4644"/>
    <w:rsid w:val="006B4892"/>
    <w:rsid w:val="006B7C03"/>
    <w:rsid w:val="006C0E26"/>
    <w:rsid w:val="006C563F"/>
    <w:rsid w:val="006D4914"/>
    <w:rsid w:val="006E17D4"/>
    <w:rsid w:val="006E3997"/>
    <w:rsid w:val="006E6C21"/>
    <w:rsid w:val="006F1E81"/>
    <w:rsid w:val="006F5AB8"/>
    <w:rsid w:val="006F709E"/>
    <w:rsid w:val="00700A9B"/>
    <w:rsid w:val="00710BD4"/>
    <w:rsid w:val="00712ADE"/>
    <w:rsid w:val="00713A28"/>
    <w:rsid w:val="00731975"/>
    <w:rsid w:val="00737025"/>
    <w:rsid w:val="00745061"/>
    <w:rsid w:val="007456D9"/>
    <w:rsid w:val="00747249"/>
    <w:rsid w:val="00767B6B"/>
    <w:rsid w:val="0077030D"/>
    <w:rsid w:val="00770FF1"/>
    <w:rsid w:val="007737FB"/>
    <w:rsid w:val="0077573B"/>
    <w:rsid w:val="00786083"/>
    <w:rsid w:val="00795A91"/>
    <w:rsid w:val="00795ABB"/>
    <w:rsid w:val="007A1AA2"/>
    <w:rsid w:val="007A5145"/>
    <w:rsid w:val="007B073A"/>
    <w:rsid w:val="007B536C"/>
    <w:rsid w:val="007B7F52"/>
    <w:rsid w:val="007C1A5A"/>
    <w:rsid w:val="007C400F"/>
    <w:rsid w:val="007C44E9"/>
    <w:rsid w:val="007C52C9"/>
    <w:rsid w:val="007C7B1B"/>
    <w:rsid w:val="007D126A"/>
    <w:rsid w:val="007E08FC"/>
    <w:rsid w:val="007E098C"/>
    <w:rsid w:val="007F1E42"/>
    <w:rsid w:val="007F48BF"/>
    <w:rsid w:val="007F4A84"/>
    <w:rsid w:val="007F6569"/>
    <w:rsid w:val="008128E7"/>
    <w:rsid w:val="008215ED"/>
    <w:rsid w:val="00821D9D"/>
    <w:rsid w:val="00822A24"/>
    <w:rsid w:val="0082332D"/>
    <w:rsid w:val="00824EF2"/>
    <w:rsid w:val="00832B5E"/>
    <w:rsid w:val="00851E8E"/>
    <w:rsid w:val="00853E74"/>
    <w:rsid w:val="0086164A"/>
    <w:rsid w:val="00861D2E"/>
    <w:rsid w:val="00864C90"/>
    <w:rsid w:val="0086606B"/>
    <w:rsid w:val="00866455"/>
    <w:rsid w:val="0087304B"/>
    <w:rsid w:val="00873C9F"/>
    <w:rsid w:val="00876754"/>
    <w:rsid w:val="008828C7"/>
    <w:rsid w:val="008829E2"/>
    <w:rsid w:val="00887B34"/>
    <w:rsid w:val="008921D7"/>
    <w:rsid w:val="00895090"/>
    <w:rsid w:val="008950C3"/>
    <w:rsid w:val="008A4844"/>
    <w:rsid w:val="008A4C25"/>
    <w:rsid w:val="008B1CA3"/>
    <w:rsid w:val="008B45A9"/>
    <w:rsid w:val="008C2949"/>
    <w:rsid w:val="008C6B01"/>
    <w:rsid w:val="008D138A"/>
    <w:rsid w:val="008D5590"/>
    <w:rsid w:val="008E2B2C"/>
    <w:rsid w:val="008E2CDA"/>
    <w:rsid w:val="008E52E4"/>
    <w:rsid w:val="008E57DF"/>
    <w:rsid w:val="009028E7"/>
    <w:rsid w:val="009076F5"/>
    <w:rsid w:val="00910551"/>
    <w:rsid w:val="009128A2"/>
    <w:rsid w:val="00921301"/>
    <w:rsid w:val="00923A8C"/>
    <w:rsid w:val="00924421"/>
    <w:rsid w:val="00933B94"/>
    <w:rsid w:val="00933F09"/>
    <w:rsid w:val="009366F4"/>
    <w:rsid w:val="00950601"/>
    <w:rsid w:val="00950FF0"/>
    <w:rsid w:val="009613CF"/>
    <w:rsid w:val="00961AE1"/>
    <w:rsid w:val="0097107B"/>
    <w:rsid w:val="009728A9"/>
    <w:rsid w:val="00976EC9"/>
    <w:rsid w:val="00977105"/>
    <w:rsid w:val="00982034"/>
    <w:rsid w:val="009869D0"/>
    <w:rsid w:val="0098700F"/>
    <w:rsid w:val="00990667"/>
    <w:rsid w:val="00990B88"/>
    <w:rsid w:val="00990BE3"/>
    <w:rsid w:val="00991F29"/>
    <w:rsid w:val="0099601A"/>
    <w:rsid w:val="009967C4"/>
    <w:rsid w:val="009A3250"/>
    <w:rsid w:val="009B17D7"/>
    <w:rsid w:val="009B3E32"/>
    <w:rsid w:val="009C0084"/>
    <w:rsid w:val="009C0628"/>
    <w:rsid w:val="009C09B3"/>
    <w:rsid w:val="009C6293"/>
    <w:rsid w:val="009C6A1A"/>
    <w:rsid w:val="009D520F"/>
    <w:rsid w:val="009D722E"/>
    <w:rsid w:val="009E316C"/>
    <w:rsid w:val="009E5756"/>
    <w:rsid w:val="009E7BF7"/>
    <w:rsid w:val="009F541D"/>
    <w:rsid w:val="00A02495"/>
    <w:rsid w:val="00A035B3"/>
    <w:rsid w:val="00A062FA"/>
    <w:rsid w:val="00A07505"/>
    <w:rsid w:val="00A14186"/>
    <w:rsid w:val="00A15A3E"/>
    <w:rsid w:val="00A221C3"/>
    <w:rsid w:val="00A2705B"/>
    <w:rsid w:val="00A3056C"/>
    <w:rsid w:val="00A355A5"/>
    <w:rsid w:val="00A36153"/>
    <w:rsid w:val="00A37389"/>
    <w:rsid w:val="00A428EB"/>
    <w:rsid w:val="00A53BFF"/>
    <w:rsid w:val="00A5401B"/>
    <w:rsid w:val="00A63408"/>
    <w:rsid w:val="00A74213"/>
    <w:rsid w:val="00A820F1"/>
    <w:rsid w:val="00A838A4"/>
    <w:rsid w:val="00AA1B0D"/>
    <w:rsid w:val="00AB2C4A"/>
    <w:rsid w:val="00AB60A4"/>
    <w:rsid w:val="00AC63D9"/>
    <w:rsid w:val="00AD40DD"/>
    <w:rsid w:val="00AD4493"/>
    <w:rsid w:val="00AD509E"/>
    <w:rsid w:val="00AD6A36"/>
    <w:rsid w:val="00AE0A6F"/>
    <w:rsid w:val="00AE1850"/>
    <w:rsid w:val="00AE3CF1"/>
    <w:rsid w:val="00AE4B76"/>
    <w:rsid w:val="00B0211E"/>
    <w:rsid w:val="00B024FD"/>
    <w:rsid w:val="00B20D47"/>
    <w:rsid w:val="00B36F79"/>
    <w:rsid w:val="00B413AE"/>
    <w:rsid w:val="00B46C5C"/>
    <w:rsid w:val="00B46EB4"/>
    <w:rsid w:val="00B46EEE"/>
    <w:rsid w:val="00B5287D"/>
    <w:rsid w:val="00B53E46"/>
    <w:rsid w:val="00B5610A"/>
    <w:rsid w:val="00B5742B"/>
    <w:rsid w:val="00B60EB1"/>
    <w:rsid w:val="00B61EA4"/>
    <w:rsid w:val="00B63251"/>
    <w:rsid w:val="00B649BD"/>
    <w:rsid w:val="00B65516"/>
    <w:rsid w:val="00B658F1"/>
    <w:rsid w:val="00B74C6F"/>
    <w:rsid w:val="00B74F54"/>
    <w:rsid w:val="00B758B0"/>
    <w:rsid w:val="00B810F9"/>
    <w:rsid w:val="00B8348E"/>
    <w:rsid w:val="00B83772"/>
    <w:rsid w:val="00B92779"/>
    <w:rsid w:val="00B92B2B"/>
    <w:rsid w:val="00B9525A"/>
    <w:rsid w:val="00BA2087"/>
    <w:rsid w:val="00BA40C3"/>
    <w:rsid w:val="00BB026E"/>
    <w:rsid w:val="00BB25A0"/>
    <w:rsid w:val="00BB57C6"/>
    <w:rsid w:val="00BC1697"/>
    <w:rsid w:val="00BC1F1C"/>
    <w:rsid w:val="00BC6B68"/>
    <w:rsid w:val="00BD056E"/>
    <w:rsid w:val="00BE0555"/>
    <w:rsid w:val="00BE49D2"/>
    <w:rsid w:val="00BE4EFC"/>
    <w:rsid w:val="00BF28EE"/>
    <w:rsid w:val="00BF7D64"/>
    <w:rsid w:val="00C01A16"/>
    <w:rsid w:val="00C0311C"/>
    <w:rsid w:val="00C044FF"/>
    <w:rsid w:val="00C10E02"/>
    <w:rsid w:val="00C116EB"/>
    <w:rsid w:val="00C1423E"/>
    <w:rsid w:val="00C15566"/>
    <w:rsid w:val="00C21C82"/>
    <w:rsid w:val="00C22E01"/>
    <w:rsid w:val="00C40422"/>
    <w:rsid w:val="00C412E2"/>
    <w:rsid w:val="00C43695"/>
    <w:rsid w:val="00C50F91"/>
    <w:rsid w:val="00C5548F"/>
    <w:rsid w:val="00C571C3"/>
    <w:rsid w:val="00C5773B"/>
    <w:rsid w:val="00C72414"/>
    <w:rsid w:val="00C7274E"/>
    <w:rsid w:val="00C75462"/>
    <w:rsid w:val="00C7737A"/>
    <w:rsid w:val="00C8089C"/>
    <w:rsid w:val="00C95BCC"/>
    <w:rsid w:val="00CA1ED6"/>
    <w:rsid w:val="00CA3E69"/>
    <w:rsid w:val="00CA4003"/>
    <w:rsid w:val="00CA5CD0"/>
    <w:rsid w:val="00CB5128"/>
    <w:rsid w:val="00CB5182"/>
    <w:rsid w:val="00CC2232"/>
    <w:rsid w:val="00CC3CBC"/>
    <w:rsid w:val="00CD0689"/>
    <w:rsid w:val="00CD4EEC"/>
    <w:rsid w:val="00CE411F"/>
    <w:rsid w:val="00CF190C"/>
    <w:rsid w:val="00CF19FE"/>
    <w:rsid w:val="00CF5A31"/>
    <w:rsid w:val="00D0589D"/>
    <w:rsid w:val="00D05FCB"/>
    <w:rsid w:val="00D1030C"/>
    <w:rsid w:val="00D10787"/>
    <w:rsid w:val="00D12299"/>
    <w:rsid w:val="00D1477A"/>
    <w:rsid w:val="00D21FBB"/>
    <w:rsid w:val="00D2269D"/>
    <w:rsid w:val="00D23911"/>
    <w:rsid w:val="00D2616F"/>
    <w:rsid w:val="00D3100A"/>
    <w:rsid w:val="00D40F2F"/>
    <w:rsid w:val="00D41BBF"/>
    <w:rsid w:val="00D47EAE"/>
    <w:rsid w:val="00D66B3C"/>
    <w:rsid w:val="00D744E8"/>
    <w:rsid w:val="00D801EF"/>
    <w:rsid w:val="00D901D8"/>
    <w:rsid w:val="00D95045"/>
    <w:rsid w:val="00DA6BF1"/>
    <w:rsid w:val="00DB603F"/>
    <w:rsid w:val="00DC1D54"/>
    <w:rsid w:val="00DC216E"/>
    <w:rsid w:val="00DC269D"/>
    <w:rsid w:val="00DC5BC9"/>
    <w:rsid w:val="00DC659B"/>
    <w:rsid w:val="00DD179B"/>
    <w:rsid w:val="00DD1F05"/>
    <w:rsid w:val="00DD6951"/>
    <w:rsid w:val="00DE40E6"/>
    <w:rsid w:val="00DE4E47"/>
    <w:rsid w:val="00DE5F9C"/>
    <w:rsid w:val="00DF51BF"/>
    <w:rsid w:val="00E01532"/>
    <w:rsid w:val="00E0261C"/>
    <w:rsid w:val="00E04092"/>
    <w:rsid w:val="00E071FB"/>
    <w:rsid w:val="00E11096"/>
    <w:rsid w:val="00E1696D"/>
    <w:rsid w:val="00E17159"/>
    <w:rsid w:val="00E20E9E"/>
    <w:rsid w:val="00E2243C"/>
    <w:rsid w:val="00E259E6"/>
    <w:rsid w:val="00E31795"/>
    <w:rsid w:val="00E35C23"/>
    <w:rsid w:val="00E42150"/>
    <w:rsid w:val="00E45DC2"/>
    <w:rsid w:val="00E55F56"/>
    <w:rsid w:val="00E579D8"/>
    <w:rsid w:val="00E6058C"/>
    <w:rsid w:val="00E62399"/>
    <w:rsid w:val="00E63A42"/>
    <w:rsid w:val="00E641BD"/>
    <w:rsid w:val="00E67822"/>
    <w:rsid w:val="00E7660A"/>
    <w:rsid w:val="00E77615"/>
    <w:rsid w:val="00E777DA"/>
    <w:rsid w:val="00E827E4"/>
    <w:rsid w:val="00E905D8"/>
    <w:rsid w:val="00E92CF3"/>
    <w:rsid w:val="00EC24E5"/>
    <w:rsid w:val="00ED25EA"/>
    <w:rsid w:val="00EE3AFA"/>
    <w:rsid w:val="00EF3A4C"/>
    <w:rsid w:val="00EF4A66"/>
    <w:rsid w:val="00EF6A0B"/>
    <w:rsid w:val="00F01447"/>
    <w:rsid w:val="00F10403"/>
    <w:rsid w:val="00F255E8"/>
    <w:rsid w:val="00F27E7C"/>
    <w:rsid w:val="00F34CBD"/>
    <w:rsid w:val="00F36CC2"/>
    <w:rsid w:val="00F441DC"/>
    <w:rsid w:val="00F501AC"/>
    <w:rsid w:val="00F54E17"/>
    <w:rsid w:val="00F55290"/>
    <w:rsid w:val="00F57589"/>
    <w:rsid w:val="00F649E2"/>
    <w:rsid w:val="00F70362"/>
    <w:rsid w:val="00F70D58"/>
    <w:rsid w:val="00F754AB"/>
    <w:rsid w:val="00F83876"/>
    <w:rsid w:val="00F87941"/>
    <w:rsid w:val="00F91F5A"/>
    <w:rsid w:val="00F9324A"/>
    <w:rsid w:val="00FA0078"/>
    <w:rsid w:val="00FA10A7"/>
    <w:rsid w:val="00FA1352"/>
    <w:rsid w:val="00FB1FD3"/>
    <w:rsid w:val="00FB2E77"/>
    <w:rsid w:val="00FB4547"/>
    <w:rsid w:val="00FB6F24"/>
    <w:rsid w:val="00FB7911"/>
    <w:rsid w:val="00FC10F0"/>
    <w:rsid w:val="00FC6296"/>
    <w:rsid w:val="00FD6A36"/>
    <w:rsid w:val="00FE242B"/>
    <w:rsid w:val="00FF175D"/>
    <w:rsid w:val="00FF3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8DCB"/>
  <w15:docId w15:val="{E8520997-561A-47E4-8909-DD0AF226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19" w:hanging="719"/>
      <w:outlineLvl w:val="0"/>
    </w:pPr>
    <w:rPr>
      <w:b/>
      <w:bCs/>
    </w:rPr>
  </w:style>
  <w:style w:type="paragraph" w:styleId="Heading2">
    <w:name w:val="heading 2"/>
    <w:basedOn w:val="Normal"/>
    <w:next w:val="Normal"/>
    <w:link w:val="Heading2Char"/>
    <w:uiPriority w:val="9"/>
    <w:unhideWhenUsed/>
    <w:qFormat/>
    <w:rsid w:val="00CB5182"/>
    <w:pPr>
      <w:keepNext/>
      <w:widowControl/>
      <w:autoSpaceDE/>
      <w:autoSpaceDN/>
      <w:spacing w:before="240" w:after="240"/>
      <w:outlineLvl w:val="1"/>
    </w:pPr>
    <w:rPr>
      <w:rFonts w:eastAsia="Times New Roman"/>
      <w:b/>
      <w:bCs/>
      <w:smallCaps/>
      <w:kern w:val="2"/>
      <w:sz w:val="24"/>
      <w:szCs w:val="24"/>
      <w:shd w:val="clear" w:color="auto" w:fill="FFFFFF"/>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F54E1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6041E"/>
    <w:rPr>
      <w:sz w:val="16"/>
      <w:szCs w:val="16"/>
    </w:rPr>
  </w:style>
  <w:style w:type="paragraph" w:styleId="CommentText">
    <w:name w:val="annotation text"/>
    <w:basedOn w:val="Normal"/>
    <w:link w:val="CommentTextChar"/>
    <w:uiPriority w:val="99"/>
    <w:unhideWhenUsed/>
    <w:rsid w:val="0046041E"/>
    <w:rPr>
      <w:sz w:val="20"/>
      <w:szCs w:val="20"/>
    </w:rPr>
  </w:style>
  <w:style w:type="character" w:customStyle="1" w:styleId="CommentTextChar">
    <w:name w:val="Comment Text Char"/>
    <w:basedOn w:val="DefaultParagraphFont"/>
    <w:link w:val="CommentText"/>
    <w:uiPriority w:val="99"/>
    <w:rsid w:val="004604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041E"/>
    <w:rPr>
      <w:b/>
      <w:bCs/>
    </w:rPr>
  </w:style>
  <w:style w:type="character" w:customStyle="1" w:styleId="CommentSubjectChar">
    <w:name w:val="Comment Subject Char"/>
    <w:basedOn w:val="CommentTextChar"/>
    <w:link w:val="CommentSubject"/>
    <w:uiPriority w:val="99"/>
    <w:semiHidden/>
    <w:rsid w:val="0046041E"/>
    <w:rPr>
      <w:rFonts w:ascii="Arial" w:eastAsia="Arial" w:hAnsi="Arial" w:cs="Arial"/>
      <w:b/>
      <w:bCs/>
      <w:sz w:val="20"/>
      <w:szCs w:val="20"/>
    </w:rPr>
  </w:style>
  <w:style w:type="paragraph" w:styleId="Header">
    <w:name w:val="header"/>
    <w:basedOn w:val="Normal"/>
    <w:link w:val="HeaderChar"/>
    <w:uiPriority w:val="99"/>
    <w:unhideWhenUsed/>
    <w:rsid w:val="00E7660A"/>
    <w:pPr>
      <w:tabs>
        <w:tab w:val="center" w:pos="4513"/>
        <w:tab w:val="right" w:pos="9026"/>
      </w:tabs>
    </w:pPr>
  </w:style>
  <w:style w:type="character" w:customStyle="1" w:styleId="HeaderChar">
    <w:name w:val="Header Char"/>
    <w:basedOn w:val="DefaultParagraphFont"/>
    <w:link w:val="Header"/>
    <w:uiPriority w:val="99"/>
    <w:rsid w:val="00E7660A"/>
    <w:rPr>
      <w:rFonts w:ascii="Arial" w:eastAsia="Arial" w:hAnsi="Arial" w:cs="Arial"/>
    </w:rPr>
  </w:style>
  <w:style w:type="paragraph" w:styleId="Footer">
    <w:name w:val="footer"/>
    <w:basedOn w:val="Normal"/>
    <w:link w:val="FooterChar"/>
    <w:uiPriority w:val="99"/>
    <w:unhideWhenUsed/>
    <w:rsid w:val="00E7660A"/>
    <w:pPr>
      <w:tabs>
        <w:tab w:val="center" w:pos="4513"/>
        <w:tab w:val="right" w:pos="9026"/>
      </w:tabs>
    </w:pPr>
  </w:style>
  <w:style w:type="character" w:customStyle="1" w:styleId="FooterChar">
    <w:name w:val="Footer Char"/>
    <w:basedOn w:val="DefaultParagraphFont"/>
    <w:link w:val="Footer"/>
    <w:uiPriority w:val="99"/>
    <w:rsid w:val="00E7660A"/>
    <w:rPr>
      <w:rFonts w:ascii="Arial" w:eastAsia="Arial" w:hAnsi="Arial" w:cs="Arial"/>
    </w:rPr>
  </w:style>
  <w:style w:type="character" w:customStyle="1" w:styleId="Heading2Char">
    <w:name w:val="Heading 2 Char"/>
    <w:basedOn w:val="DefaultParagraphFont"/>
    <w:link w:val="Heading2"/>
    <w:uiPriority w:val="9"/>
    <w:rsid w:val="00CB5182"/>
    <w:rPr>
      <w:rFonts w:ascii="Arial" w:eastAsia="Times New Roman" w:hAnsi="Arial" w:cs="Arial"/>
      <w:b/>
      <w:bCs/>
      <w:smallCaps/>
      <w:kern w:val="2"/>
      <w:sz w:val="24"/>
      <w:szCs w:val="24"/>
      <w:lang w:val="en-AU" w:eastAsia="en-AU"/>
    </w:rPr>
  </w:style>
  <w:style w:type="paragraph" w:styleId="Title">
    <w:name w:val="Title"/>
    <w:basedOn w:val="Normal"/>
    <w:next w:val="Normal"/>
    <w:link w:val="TitleChar"/>
    <w:uiPriority w:val="10"/>
    <w:qFormat/>
    <w:rsid w:val="005A7004"/>
    <w:pPr>
      <w:widowControl/>
      <w:autoSpaceDE/>
      <w:autoSpaceDN/>
      <w:spacing w:after="160" w:line="259" w:lineRule="auto"/>
    </w:pPr>
    <w:rPr>
      <w:rFonts w:eastAsia="Calibri"/>
      <w:b/>
      <w:caps/>
      <w:kern w:val="2"/>
      <w:sz w:val="32"/>
      <w:szCs w:val="32"/>
      <w:lang w:val="en-AU"/>
    </w:rPr>
  </w:style>
  <w:style w:type="character" w:customStyle="1" w:styleId="TitleChar">
    <w:name w:val="Title Char"/>
    <w:basedOn w:val="DefaultParagraphFont"/>
    <w:link w:val="Title"/>
    <w:uiPriority w:val="10"/>
    <w:rsid w:val="005A7004"/>
    <w:rPr>
      <w:rFonts w:ascii="Arial" w:eastAsia="Calibri" w:hAnsi="Arial" w:cs="Arial"/>
      <w:b/>
      <w:caps/>
      <w:kern w:val="2"/>
      <w:sz w:val="32"/>
      <w:szCs w:val="32"/>
      <w:lang w:val="en-AU"/>
    </w:rPr>
  </w:style>
  <w:style w:type="paragraph" w:styleId="Subtitle">
    <w:name w:val="Subtitle"/>
    <w:basedOn w:val="Normal"/>
    <w:next w:val="Normal"/>
    <w:link w:val="SubtitleChar"/>
    <w:uiPriority w:val="11"/>
    <w:qFormat/>
    <w:rsid w:val="007C44E9"/>
    <w:pPr>
      <w:widowControl/>
      <w:autoSpaceDE/>
      <w:autoSpaceDN/>
      <w:spacing w:before="240" w:after="240"/>
      <w:jc w:val="center"/>
    </w:pPr>
    <w:rPr>
      <w:rFonts w:eastAsia="Times New Roman"/>
      <w:kern w:val="2"/>
      <w:sz w:val="24"/>
      <w:szCs w:val="24"/>
      <w:shd w:val="clear" w:color="auto" w:fill="FFFFFF"/>
      <w:lang w:val="en-AU" w:eastAsia="en-AU"/>
    </w:rPr>
  </w:style>
  <w:style w:type="character" w:customStyle="1" w:styleId="SubtitleChar">
    <w:name w:val="Subtitle Char"/>
    <w:basedOn w:val="DefaultParagraphFont"/>
    <w:link w:val="Subtitle"/>
    <w:uiPriority w:val="11"/>
    <w:rsid w:val="007C44E9"/>
    <w:rPr>
      <w:rFonts w:ascii="Arial" w:eastAsia="Times New Roman" w:hAnsi="Arial" w:cs="Arial"/>
      <w:kern w:val="2"/>
      <w:sz w:val="24"/>
      <w:szCs w:val="24"/>
      <w:lang w:val="en-AU" w:eastAsia="en-AU"/>
    </w:rPr>
  </w:style>
  <w:style w:type="character" w:styleId="SubtleEmphasis">
    <w:name w:val="Subtle Emphasis"/>
    <w:uiPriority w:val="19"/>
    <w:qFormat/>
    <w:rsid w:val="007C44E9"/>
    <w:rPr>
      <w:rFonts w:eastAsia="Times New Roman"/>
      <w:shd w:val="clear" w:color="auto" w:fill="FFFFFF"/>
      <w:lang w:eastAsia="en-AU"/>
    </w:rPr>
  </w:style>
  <w:style w:type="character" w:customStyle="1" w:styleId="Heading1Char">
    <w:name w:val="Heading 1 Char"/>
    <w:link w:val="Heading1"/>
    <w:uiPriority w:val="9"/>
    <w:rsid w:val="007C44E9"/>
    <w:rPr>
      <w:rFonts w:ascii="Arial" w:eastAsia="Arial" w:hAnsi="Arial" w:cs="Arial"/>
      <w:b/>
      <w:bCs/>
    </w:rPr>
  </w:style>
  <w:style w:type="paragraph" w:customStyle="1" w:styleId="1stLevel">
    <w:name w:val="1st Level"/>
    <w:basedOn w:val="ListParagraph"/>
    <w:link w:val="1stLevelChar"/>
    <w:qFormat/>
    <w:rsid w:val="00CB5182"/>
    <w:pPr>
      <w:widowControl/>
      <w:numPr>
        <w:numId w:val="1"/>
      </w:numPr>
      <w:autoSpaceDE/>
      <w:autoSpaceDN/>
      <w:spacing w:after="240"/>
    </w:pPr>
    <w:rPr>
      <w:rFonts w:eastAsia="Times New Roman"/>
      <w:shd w:val="clear" w:color="auto" w:fill="FFFFFF"/>
      <w:lang w:val="en-AU" w:eastAsia="en-AU"/>
    </w:rPr>
  </w:style>
  <w:style w:type="character" w:customStyle="1" w:styleId="1stLevelChar">
    <w:name w:val="1st Level Char"/>
    <w:link w:val="1stLevel"/>
    <w:rsid w:val="00CB5182"/>
    <w:rPr>
      <w:rFonts w:ascii="Arial" w:eastAsia="Times New Roman" w:hAnsi="Arial" w:cs="Arial"/>
      <w:lang w:val="en-AU" w:eastAsia="en-AU"/>
    </w:rPr>
  </w:style>
  <w:style w:type="paragraph" w:customStyle="1" w:styleId="2ndLevel">
    <w:name w:val="2nd Level"/>
    <w:basedOn w:val="1stLevel"/>
    <w:link w:val="2ndLevelChar"/>
    <w:qFormat/>
    <w:rsid w:val="002D0109"/>
    <w:pPr>
      <w:numPr>
        <w:ilvl w:val="1"/>
      </w:numPr>
      <w:ind w:left="1418" w:hanging="567"/>
    </w:pPr>
  </w:style>
  <w:style w:type="character" w:customStyle="1" w:styleId="2ndLevelChar">
    <w:name w:val="2nd Level Char"/>
    <w:link w:val="2ndLevel"/>
    <w:rsid w:val="002D0109"/>
    <w:rPr>
      <w:rFonts w:ascii="Arial" w:eastAsia="Times New Roman" w:hAnsi="Arial" w:cs="Arial"/>
      <w:lang w:val="en-AU" w:eastAsia="en-AU"/>
    </w:rPr>
  </w:style>
  <w:style w:type="paragraph" w:styleId="Signature">
    <w:name w:val="Signature"/>
    <w:basedOn w:val="Normal"/>
    <w:link w:val="SignatureChar"/>
    <w:uiPriority w:val="99"/>
    <w:unhideWhenUsed/>
    <w:qFormat/>
    <w:rsid w:val="00CB5182"/>
    <w:pPr>
      <w:widowControl/>
      <w:autoSpaceDE/>
      <w:autoSpaceDN/>
      <w:spacing w:line="286" w:lineRule="atLeast"/>
      <w:jc w:val="right"/>
    </w:pPr>
    <w:rPr>
      <w:rFonts w:eastAsia="Times New Roman"/>
      <w:b/>
      <w:bCs/>
      <w:smallCaps/>
      <w:kern w:val="2"/>
      <w:sz w:val="24"/>
      <w:szCs w:val="24"/>
      <w:shd w:val="clear" w:color="auto" w:fill="FFFFFF"/>
      <w:lang w:val="en-AU" w:eastAsia="en-AU"/>
    </w:rPr>
  </w:style>
  <w:style w:type="character" w:customStyle="1" w:styleId="SignatureChar">
    <w:name w:val="Signature Char"/>
    <w:basedOn w:val="DefaultParagraphFont"/>
    <w:link w:val="Signature"/>
    <w:uiPriority w:val="99"/>
    <w:rsid w:val="00CB5182"/>
    <w:rPr>
      <w:rFonts w:ascii="Arial" w:eastAsia="Times New Roman" w:hAnsi="Arial" w:cs="Arial"/>
      <w:b/>
      <w:bCs/>
      <w:smallCaps/>
      <w:kern w:val="2"/>
      <w:sz w:val="24"/>
      <w:szCs w:val="24"/>
      <w:lang w:val="en-AU" w:eastAsia="en-AU"/>
    </w:rPr>
  </w:style>
  <w:style w:type="character" w:styleId="Hyperlink">
    <w:name w:val="Hyperlink"/>
    <w:basedOn w:val="DefaultParagraphFont"/>
    <w:uiPriority w:val="99"/>
    <w:unhideWhenUsed/>
    <w:rsid w:val="007D126A"/>
    <w:rPr>
      <w:color w:val="0000FF" w:themeColor="hyperlink"/>
      <w:u w:val="single"/>
    </w:rPr>
  </w:style>
  <w:style w:type="character" w:styleId="UnresolvedMention">
    <w:name w:val="Unresolved Mention"/>
    <w:basedOn w:val="DefaultParagraphFont"/>
    <w:uiPriority w:val="99"/>
    <w:semiHidden/>
    <w:unhideWhenUsed/>
    <w:rsid w:val="007D126A"/>
    <w:rPr>
      <w:color w:val="605E5C"/>
      <w:shd w:val="clear" w:color="auto" w:fill="E1DFDD"/>
    </w:rPr>
  </w:style>
  <w:style w:type="character" w:styleId="FollowedHyperlink">
    <w:name w:val="FollowedHyperlink"/>
    <w:basedOn w:val="DefaultParagraphFont"/>
    <w:uiPriority w:val="99"/>
    <w:semiHidden/>
    <w:unhideWhenUsed/>
    <w:rsid w:val="006C563F"/>
    <w:rPr>
      <w:color w:val="800080" w:themeColor="followedHyperlink"/>
      <w:u w:val="single"/>
    </w:rPr>
  </w:style>
  <w:style w:type="character" w:styleId="Strong">
    <w:name w:val="Strong"/>
    <w:basedOn w:val="DefaultParagraphFont"/>
    <w:uiPriority w:val="22"/>
    <w:qFormat/>
    <w:rsid w:val="007C52C9"/>
    <w:rPr>
      <w:b/>
      <w:bCs/>
    </w:rPr>
  </w:style>
  <w:style w:type="numbering" w:customStyle="1" w:styleId="CurrentList1">
    <w:name w:val="Current List1"/>
    <w:uiPriority w:val="99"/>
    <w:rsid w:val="00B92B2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86692">
      <w:bodyDiv w:val="1"/>
      <w:marLeft w:val="0"/>
      <w:marRight w:val="0"/>
      <w:marTop w:val="0"/>
      <w:marBottom w:val="0"/>
      <w:divBdr>
        <w:top w:val="none" w:sz="0" w:space="0" w:color="auto"/>
        <w:left w:val="none" w:sz="0" w:space="0" w:color="auto"/>
        <w:bottom w:val="none" w:sz="0" w:space="0" w:color="auto"/>
        <w:right w:val="none" w:sz="0" w:space="0" w:color="auto"/>
      </w:divBdr>
    </w:div>
    <w:div w:id="526338475">
      <w:bodyDiv w:val="1"/>
      <w:marLeft w:val="0"/>
      <w:marRight w:val="0"/>
      <w:marTop w:val="0"/>
      <w:marBottom w:val="0"/>
      <w:divBdr>
        <w:top w:val="none" w:sz="0" w:space="0" w:color="auto"/>
        <w:left w:val="none" w:sz="0" w:space="0" w:color="auto"/>
        <w:bottom w:val="none" w:sz="0" w:space="0" w:color="auto"/>
        <w:right w:val="none" w:sz="0" w:space="0" w:color="auto"/>
      </w:divBdr>
    </w:div>
    <w:div w:id="546767489">
      <w:bodyDiv w:val="1"/>
      <w:marLeft w:val="0"/>
      <w:marRight w:val="0"/>
      <w:marTop w:val="0"/>
      <w:marBottom w:val="0"/>
      <w:divBdr>
        <w:top w:val="none" w:sz="0" w:space="0" w:color="auto"/>
        <w:left w:val="none" w:sz="0" w:space="0" w:color="auto"/>
        <w:bottom w:val="none" w:sz="0" w:space="0" w:color="auto"/>
        <w:right w:val="none" w:sz="0" w:space="0" w:color="auto"/>
      </w:divBdr>
    </w:div>
    <w:div w:id="550651662">
      <w:bodyDiv w:val="1"/>
      <w:marLeft w:val="0"/>
      <w:marRight w:val="0"/>
      <w:marTop w:val="0"/>
      <w:marBottom w:val="0"/>
      <w:divBdr>
        <w:top w:val="none" w:sz="0" w:space="0" w:color="auto"/>
        <w:left w:val="none" w:sz="0" w:space="0" w:color="auto"/>
        <w:bottom w:val="none" w:sz="0" w:space="0" w:color="auto"/>
        <w:right w:val="none" w:sz="0" w:space="0" w:color="auto"/>
      </w:divBdr>
    </w:div>
    <w:div w:id="1351570108">
      <w:bodyDiv w:val="1"/>
      <w:marLeft w:val="0"/>
      <w:marRight w:val="0"/>
      <w:marTop w:val="0"/>
      <w:marBottom w:val="0"/>
      <w:divBdr>
        <w:top w:val="none" w:sz="0" w:space="0" w:color="auto"/>
        <w:left w:val="none" w:sz="0" w:space="0" w:color="auto"/>
        <w:bottom w:val="none" w:sz="0" w:space="0" w:color="auto"/>
        <w:right w:val="none" w:sz="0" w:space="0" w:color="auto"/>
      </w:divBdr>
    </w:div>
    <w:div w:id="156182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C.Registry@courts.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c.nsw.gov.au/practice-and-procedures/forms/industrial-relations-commission-forms/irc-7b---employer-s-response-to-unfair-dismissal.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c.nsw.gov.au/practice-and-procedures/forms/industrial-relations-commission-forms/irc-7a---unfair-dismissal.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62500b-755a-4d32-8137-d78bd961910e">
      <Terms xmlns="http://schemas.microsoft.com/office/infopath/2007/PartnerControls"/>
    </lcf76f155ced4ddcb4097134ff3c332f>
    <TaxCatchAll xmlns="8c56dc25-cc41-4ce0-bd67-6ca48fc8f15f" xsi:nil="true"/>
    <Dateandtime xmlns="9e62500b-755a-4d32-8137-d78bd9619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2" ma:contentTypeDescription="Create a new document." ma:contentTypeScope="" ma:versionID="74e9381281595b173c320695297e726a">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f47e877722efed09531c0bc34b299884"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6C928-9254-4331-802C-EC4537677C3C}">
  <ds:schemaRefs>
    <ds:schemaRef ds:uri="http://schemas.microsoft.com/office/2006/metadata/properties"/>
    <ds:schemaRef ds:uri="http://schemas.microsoft.com/office/infopath/2007/PartnerControls"/>
    <ds:schemaRef ds:uri="9e62500b-755a-4d32-8137-d78bd961910e"/>
    <ds:schemaRef ds:uri="8c56dc25-cc41-4ce0-bd67-6ca48fc8f15f"/>
  </ds:schemaRefs>
</ds:datastoreItem>
</file>

<file path=customXml/itemProps2.xml><?xml version="1.0" encoding="utf-8"?>
<ds:datastoreItem xmlns:ds="http://schemas.openxmlformats.org/officeDocument/2006/customXml" ds:itemID="{D4877E30-307D-41B7-A28C-B48567E122DD}">
  <ds:schemaRefs>
    <ds:schemaRef ds:uri="http://schemas.microsoft.com/sharepoint/v3/contenttype/forms"/>
  </ds:schemaRefs>
</ds:datastoreItem>
</file>

<file path=customXml/itemProps3.xml><?xml version="1.0" encoding="utf-8"?>
<ds:datastoreItem xmlns:ds="http://schemas.openxmlformats.org/officeDocument/2006/customXml" ds:itemID="{188820E9-650D-4FA5-B3B8-4C462AF46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4D4BF-EF0C-4B3B-A18A-9C467132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Practice_Note_No_17A</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Practice_Note_No_17A</dc:title>
  <dc:subject>Practice Note 17A</dc:subject>
  <dc:creator>Acting Justice Peter Kite</dc:creator>
  <cp:keywords/>
  <cp:lastModifiedBy>Bill Chan</cp:lastModifiedBy>
  <cp:revision>3</cp:revision>
  <cp:lastPrinted>2025-08-14T01:33:00Z</cp:lastPrinted>
  <dcterms:created xsi:type="dcterms:W3CDTF">2025-08-14T01:32:00Z</dcterms:created>
  <dcterms:modified xsi:type="dcterms:W3CDTF">2025-08-14T01:33:00Z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Acrobat PDFMaker 23 for Word</vt:lpwstr>
  </property>
  <property fmtid="{D5CDD505-2E9C-101B-9397-08002B2CF9AE}" pid="4" name="LastSaved">
    <vt:filetime>2025-07-10T00:00:00Z</vt:filetime>
  </property>
  <property fmtid="{D5CDD505-2E9C-101B-9397-08002B2CF9AE}" pid="5" name="Producer">
    <vt:lpwstr>Adobe PDF Library 23.8.53</vt:lpwstr>
  </property>
  <property fmtid="{D5CDD505-2E9C-101B-9397-08002B2CF9AE}" pid="6" name="SourceModified">
    <vt:lpwstr>D:20240327233936</vt:lpwstr>
  </property>
  <property fmtid="{D5CDD505-2E9C-101B-9397-08002B2CF9AE}" pid="7" name="ContentTypeId">
    <vt:lpwstr>0x010100D1D315E3009AEB499D87A9466E304C7A</vt:lpwstr>
  </property>
  <property fmtid="{D5CDD505-2E9C-101B-9397-08002B2CF9AE}" pid="8" name="MediaServiceImageTags">
    <vt:lpwstr/>
  </property>
</Properties>
</file>